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7D689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D689B" w:rsidRDefault="00AC4A6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89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D689B" w:rsidRDefault="00AC4A6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Рязанской области от 25.10.2022 N 380</w:t>
            </w:r>
            <w:r>
              <w:rPr>
                <w:sz w:val="48"/>
              </w:rPr>
              <w:br/>
              <w:t>(ред. от 27.06.2023)</w:t>
            </w:r>
            <w:r>
              <w:rPr>
                <w:sz w:val="48"/>
              </w:rPr>
              <w:br/>
              <w:t>"О реализации цифрового сервиса "Единая цифровая карта жителя Рязанской области"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"Положением об универсальном платежно-сервисном инструменте для населения Рязанской области...", "Условиями участия кредитной организации в качестве банка-эмитента ЕЦК", "Положением об операторе цифрового сервиса ЕЦК")</w:t>
            </w:r>
          </w:p>
        </w:tc>
      </w:tr>
      <w:tr w:rsidR="007D689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D689B" w:rsidRDefault="00AC4A6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06.07.2023</w:t>
            </w:r>
            <w:r>
              <w:rPr>
                <w:sz w:val="28"/>
              </w:rPr>
              <w:br/>
              <w:t> </w:t>
            </w:r>
          </w:p>
        </w:tc>
      </w:tr>
    </w:tbl>
    <w:p w:rsidR="007D689B" w:rsidRDefault="007D689B">
      <w:pPr>
        <w:pStyle w:val="ConsPlusNormal0"/>
        <w:sectPr w:rsidR="007D689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D689B" w:rsidRDefault="007D689B">
      <w:pPr>
        <w:pStyle w:val="ConsPlusNormal0"/>
        <w:jc w:val="both"/>
        <w:outlineLvl w:val="0"/>
      </w:pPr>
    </w:p>
    <w:p w:rsidR="007D689B" w:rsidRDefault="00AC4A6E">
      <w:pPr>
        <w:pStyle w:val="ConsPlusTitle0"/>
        <w:jc w:val="center"/>
        <w:outlineLvl w:val="0"/>
      </w:pPr>
      <w:r>
        <w:t>ПРАВИТЕЛЬСТВО РЯЗАНСКОЙ ОБЛАСТИ</w:t>
      </w:r>
    </w:p>
    <w:p w:rsidR="007D689B" w:rsidRDefault="007D689B">
      <w:pPr>
        <w:pStyle w:val="ConsPlusTitle0"/>
        <w:jc w:val="both"/>
      </w:pPr>
    </w:p>
    <w:p w:rsidR="007D689B" w:rsidRDefault="00AC4A6E">
      <w:pPr>
        <w:pStyle w:val="ConsPlusTitle0"/>
        <w:jc w:val="center"/>
      </w:pPr>
      <w:r>
        <w:t>ПОСТАНОВЛЕНИЕ</w:t>
      </w:r>
    </w:p>
    <w:p w:rsidR="007D689B" w:rsidRDefault="00AC4A6E">
      <w:pPr>
        <w:pStyle w:val="ConsPlusTitle0"/>
        <w:jc w:val="center"/>
      </w:pPr>
      <w:r>
        <w:t>от 25 октября 2022 г. N 380</w:t>
      </w:r>
    </w:p>
    <w:p w:rsidR="007D689B" w:rsidRDefault="007D689B">
      <w:pPr>
        <w:pStyle w:val="ConsPlusTitle0"/>
        <w:jc w:val="both"/>
      </w:pPr>
    </w:p>
    <w:p w:rsidR="007D689B" w:rsidRDefault="00AC4A6E">
      <w:pPr>
        <w:pStyle w:val="ConsPlusTitle0"/>
        <w:jc w:val="center"/>
      </w:pPr>
      <w:r>
        <w:t>О РЕАЛИЗАЦИИ ЦИФРОВОГО СЕРВИСА "ЕДИНАЯ ЦИФРОВАЯ КАРТА ЖИТЕЛЯ</w:t>
      </w:r>
    </w:p>
    <w:p w:rsidR="007D689B" w:rsidRDefault="00AC4A6E">
      <w:pPr>
        <w:pStyle w:val="ConsPlusTitle0"/>
        <w:jc w:val="center"/>
      </w:pPr>
      <w:r>
        <w:t>РЯЗАНСКОЙ ОБЛАСТИ"</w:t>
      </w:r>
    </w:p>
    <w:p w:rsidR="007D689B" w:rsidRDefault="007D689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D68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</w:t>
            </w:r>
          </w:p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>от 27.06.2023 N 250)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</w:tr>
    </w:tbl>
    <w:p w:rsidR="007D689B" w:rsidRDefault="007D689B">
      <w:pPr>
        <w:pStyle w:val="ConsPlusNormal0"/>
        <w:jc w:val="both"/>
      </w:pPr>
    </w:p>
    <w:p w:rsidR="007D689B" w:rsidRDefault="00AC4A6E">
      <w:pPr>
        <w:pStyle w:val="ConsPlusNormal0"/>
        <w:ind w:firstLine="540"/>
        <w:jc w:val="both"/>
      </w:pPr>
      <w:r>
        <w:t>В соответствии с соглашением о сотрудничестве между Правительством Рязанской области и акционерным обществом "Национальная система платежных карт" от 16 июня 2022 г. N 63-1, в целях социально-экономического развития Рязанской области, совершенствования пре</w:t>
      </w:r>
      <w:r>
        <w:t>доставления мер социальной поддержки, предусмотренных законодательством Рязанской области, создания универсального платежно-сервисного инструмента для населения Рязанской области - цифрового сервиса "Единая цифровая карта жителя Рязанской области" Правител</w:t>
      </w:r>
      <w:r>
        <w:t>ьство Рязанской области постановляет: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об универсальном платежно-сервисном инструменте для населения Рязанской области - цифровом сервисе "Единая цифровая карта жителя Рязанской области" (далее</w:t>
      </w:r>
      <w:r>
        <w:t xml:space="preserve"> - Цифровой сервис ЕЦК) согласно приложению.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 Определить министерство цифрового развития, информационных технологий и связи Рязанской области уполномоченным на внедрение, функционирование, модернизацию и развитие Цифрового сервиса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3. Министерству экономического развития Рязанской области осуще</w:t>
      </w:r>
      <w:r>
        <w:t>ствить информирование предприятий розничной торговли, общественного питания и бытового обслуживания, осуществляющих деятельность на территории Рязанской области, о Цифровом сервисе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4. Определить министерство транспорта и автомобильных дорог Рязанской </w:t>
      </w:r>
      <w:r>
        <w:t xml:space="preserve">области, министерство здравоохранения Рязанской области, министерство образования Рязанской области, министерство труда и социальной защиты населения Рязанской области функциональными заказчиками, осуществляющими информационное взаимодействие с оператором </w:t>
      </w:r>
      <w:r>
        <w:t>Цифрового сервиса ЕЦК в процессе функционирования соответствующих приложений (сервисов) Цифрового сервиса ЕЦК в курируемых сферах деятельности.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10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5. Министерству цифрового развития, информационных технологий и связи Рязанской области: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- разработать и </w:t>
      </w:r>
      <w:r>
        <w:t>утвердить положение о конкурсном отборе оператора Цифрового сервиса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провести конкурсный отбор оператора Цифрового сервиса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разработать и утвердить технические требования к карте Цифрового сервиса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6. Рекомендовать органам местного самоупра</w:t>
      </w:r>
      <w:r>
        <w:t>вления муниципальных образований Рязанской области принять участие в качестве функциональных заказчиков, осуществляющих информационное взаимодействие с оператором Цифрового сервиса ЕЦК в процессе функционирования соответствующих приложений (сервисов) Цифро</w:t>
      </w:r>
      <w:r>
        <w:t>вого сервиса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7. Контроль за исполнением настоящего постановления возложить на заместителя Председателя Правительства Рязанской области (в сфере цифрового развития и спорта).</w:t>
      </w: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Normal0"/>
        <w:jc w:val="right"/>
      </w:pPr>
      <w:r>
        <w:t>Губернатор Рязанской области</w:t>
      </w:r>
    </w:p>
    <w:p w:rsidR="007D689B" w:rsidRDefault="00AC4A6E">
      <w:pPr>
        <w:pStyle w:val="ConsPlusNormal0"/>
        <w:jc w:val="right"/>
      </w:pPr>
      <w:r>
        <w:t>П.В.МАЛКОВ</w:t>
      </w: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Normal0"/>
        <w:jc w:val="right"/>
        <w:outlineLvl w:val="0"/>
      </w:pPr>
      <w:r>
        <w:t>Приложение</w:t>
      </w:r>
    </w:p>
    <w:p w:rsidR="007D689B" w:rsidRDefault="00AC4A6E">
      <w:pPr>
        <w:pStyle w:val="ConsPlusNormal0"/>
        <w:jc w:val="right"/>
      </w:pPr>
      <w:r>
        <w:t>к Постановлению</w:t>
      </w:r>
    </w:p>
    <w:p w:rsidR="007D689B" w:rsidRDefault="00AC4A6E">
      <w:pPr>
        <w:pStyle w:val="ConsPlusNormal0"/>
        <w:jc w:val="right"/>
      </w:pPr>
      <w:r>
        <w:t>Прав</w:t>
      </w:r>
      <w:r>
        <w:t>ительства Рязанской области</w:t>
      </w:r>
    </w:p>
    <w:p w:rsidR="007D689B" w:rsidRDefault="00AC4A6E">
      <w:pPr>
        <w:pStyle w:val="ConsPlusNormal0"/>
        <w:jc w:val="right"/>
      </w:pPr>
      <w:r>
        <w:t>от 25 октября 2022 г. N 380</w:t>
      </w: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Title0"/>
        <w:jc w:val="center"/>
      </w:pPr>
      <w:bookmarkStart w:id="0" w:name="P37"/>
      <w:bookmarkEnd w:id="0"/>
      <w:r>
        <w:t>ПОЛОЖЕНИЕ</w:t>
      </w:r>
    </w:p>
    <w:p w:rsidR="007D689B" w:rsidRDefault="00AC4A6E">
      <w:pPr>
        <w:pStyle w:val="ConsPlusTitle0"/>
        <w:jc w:val="center"/>
      </w:pPr>
      <w:r>
        <w:t>ОБ УНИВЕРСАЛЬНОМ ПЛАТЕЖНО-СЕРВИСНОМ ИНСТРУМЕНТЕ</w:t>
      </w:r>
    </w:p>
    <w:p w:rsidR="007D689B" w:rsidRDefault="00AC4A6E">
      <w:pPr>
        <w:pStyle w:val="ConsPlusTitle0"/>
        <w:jc w:val="center"/>
      </w:pPr>
      <w:r>
        <w:t>ДЛЯ НАСЕЛЕНИЯ РЯЗАНСКОЙ ОБЛАСТИ - ЦИФРОВОМ СЕРВИСЕ</w:t>
      </w:r>
    </w:p>
    <w:p w:rsidR="007D689B" w:rsidRDefault="00AC4A6E">
      <w:pPr>
        <w:pStyle w:val="ConsPlusTitle0"/>
        <w:jc w:val="center"/>
      </w:pPr>
      <w:r>
        <w:t>"ЕДИНАЯ ЦИФРОВАЯ КАРТА ЖИТЕЛЯ РЯЗАНСКОЙ ОБЛАСТИ"</w:t>
      </w:r>
    </w:p>
    <w:p w:rsidR="007D689B" w:rsidRDefault="007D689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D68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</w:t>
            </w:r>
          </w:p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>от 27.06.2023 N 250)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</w:tr>
    </w:tbl>
    <w:p w:rsidR="007D689B" w:rsidRDefault="007D689B">
      <w:pPr>
        <w:pStyle w:val="ConsPlusNormal0"/>
        <w:jc w:val="both"/>
      </w:pPr>
    </w:p>
    <w:p w:rsidR="007D689B" w:rsidRDefault="00AC4A6E">
      <w:pPr>
        <w:pStyle w:val="ConsPlusTitle0"/>
        <w:jc w:val="center"/>
        <w:outlineLvl w:val="1"/>
      </w:pPr>
      <w:r>
        <w:t>1. Общие положения</w:t>
      </w: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Normal0"/>
        <w:ind w:firstLine="540"/>
        <w:jc w:val="both"/>
      </w:pPr>
      <w:r>
        <w:t>1.1. Положение об универсальном платежно-сервисном инструменте для населения Рязанской области - цифровом сервисе "Единая цифровая карта жителя Рязанской области" (далее соответственно - Положение, Цифровой сервис ЕЦК) определяет цели, участников, состав п</w:t>
      </w:r>
      <w:r>
        <w:t>риложений и порядок их использования, а также порядок выпуска, выдачи и обслуживания карт Цифрового сервиса ЕЦК (далее - ЕЦК).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1.2. Цифровой сервис ЕЦК вводится на территории Рязанской области в целях повышения эффективности, доступности и качества предост</w:t>
      </w:r>
      <w:r>
        <w:t>авления мер социальной поддержки, социальных, медицинских, транспортных и иных услуг, предусмотренных законодательством Рязанской области, на основе современных информационных технологий, а также обеспечения государственного контроля за использованием бюдж</w:t>
      </w:r>
      <w:r>
        <w:t>етных средств, выделенных на предоставление мер социальной поддержки.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1.3. ЕЦК выпускается в виде национального платежного инструмента (платежной карты "Мир").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1.4. В настоящем Положении применяются следующие понятия: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информационная система ЕЦК - автомат</w:t>
      </w:r>
      <w:r>
        <w:t>изированная информационная система учета предоставления предусмотренных законодательством Рязанской области мер социальной поддержки, социальных, медицинских, транспортных и иных услуг (далее соответственно - меры социальной поддержки, социальные, медицинс</w:t>
      </w:r>
      <w:r>
        <w:t>кие, транспортные и иные услуги), участия в программах лояльности с использованием ЕЦК, содержащая сведения, подтверждающие право держателей ЕЦК на получение мер социальной поддержки (при наличии такого права), (далее - ИС ЕЦК);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12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ЕЦК - материальный</w:t>
      </w:r>
      <w:r>
        <w:t xml:space="preserve"> носитель (виртуальный носитель при наличии технической возможности и согласия заявителя), содержащий зафиксированную на нем информацию о держателе ЕЦК, в том числе подтверждающую право держателя ЕЦК на получение мер социальной поддержки (при наличии таког</w:t>
      </w:r>
      <w:r>
        <w:t>о права), обеспечивающий получение мер социальной поддержки (в том числе в денежной форме с согласия держателя ЕЦК на открытый банковский счет в банке-эмитенте ЕЦК), социальных, медицинских, транспортных и иных услуг, участие в программах лояльности с испо</w:t>
      </w:r>
      <w:r>
        <w:t>льзованием ЕЦК и соответствующий техническим требованиям к ЕЦК, утверждаемым министерством цифрового развития, информационных технологий и связи Рязанской области (далее - уполномоченный орган);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13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заявитель - гражданин Российской Федерации, или инос</w:t>
      </w:r>
      <w:r>
        <w:t>транный гражданин, или лицо без гражданства, имеющий(ее) место жительства (пребывания) на территории Рязанской области, достигший(ее) 14-летнего возраста и подавший(ее) заявление о выпуске ЕЦК;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14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держатель ЕЦК - гражданин Российской Федерации, или и</w:t>
      </w:r>
      <w:r>
        <w:t>ностранный гражданин, лицо без гражданства, имеющий(ее) место жительства (пребывания) на территории Рязанской области и получивший(ее) ЕЦК в установленных настоящим Положением и банком-эмитентом порядках;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- идентификатор ЕЦК - уникальный номер ЕЦК, </w:t>
      </w:r>
      <w:r>
        <w:t>записанный на электронном носителе или в облачном сервисе ЕЦК, уникальная последовательность символов, предназначенная для обеспечения доступа держателя ЕЦК к получению мер социальной поддержки, социальных, медицинских, транспортных и иных услуг, а также к</w:t>
      </w:r>
      <w:r>
        <w:t xml:space="preserve"> программам лояльности с использованием ЕЦК;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банковское платежное приложение ЕЦК (далее - расчетное приложение) - приложение (сервис), обеспечивающее проведение держателем ЕЦК операций по получению (пополнению) наличных денежных средств, по оплате</w:t>
      </w:r>
      <w:r>
        <w:t xml:space="preserve"> товаров, работ и услуг с использованием ЕЦК (реквизитов ЕЦК) в национальной системе платежных карт (далее - НСПК), получение бонусов и скидок по программам лояльности у партнеров приложений (сервисов)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нефинансовые приложения ЕЦК (далее - нефинансов</w:t>
      </w:r>
      <w:r>
        <w:t>ые приложения) - приложения (сервисы), обеспечивающие предоставление и получение держателем ЕЦК мер социальной поддержки, социальных, медицинских, транспортных и иных услуг, предусмотренных законодательством Рязанской области;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программа лояльности - прог</w:t>
      </w:r>
      <w:r>
        <w:t>рамма, разработанная партнерами приложений (сервисов) ЕЦК (далее - партнеры), направленная на увеличение активности клиентов в приобретении товаров, работ и услуг указанных партнеров, предусматривающая начисление бонусов (баллов, иных единиц, характеризующ</w:t>
      </w:r>
      <w:r>
        <w:t xml:space="preserve">их активность клиента в приобретении товаров, работ и услуг указанных партнеров) посредством использования ЕЦК с расчетным приложением по основаниям, установленным в соответствующей программе, а также выплату (скидку), частичный возврат стоимости товаров, </w:t>
      </w:r>
      <w:r>
        <w:t>работ и услуг в зависимости от количества начисленных бонусов (баллов, иных единиц, характеризующих активность клиента в приобретении товаров, работ и услуг указанных партнеров);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процессинг - деятельность оператора ЕЦК по обработке и учету информации при</w:t>
      </w:r>
      <w:r>
        <w:t xml:space="preserve"> совершении операций с ЕЦК в рамках функционирования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- банк-эмитент ЕЦК - кредитная организация, соответствующая </w:t>
      </w:r>
      <w:hyperlink w:anchor="P169" w:tooltip="УСЛОВИЯ">
        <w:r>
          <w:rPr>
            <w:color w:val="0000FF"/>
          </w:rPr>
          <w:t>условиям</w:t>
        </w:r>
      </w:hyperlink>
      <w:r>
        <w:t xml:space="preserve"> участия кредитной организации в качестве банка-эмитента ЕЦК, предусмотренным приложени</w:t>
      </w:r>
      <w:r>
        <w:t>ем N 1 к настоящему Положению (далее - условия участия кредитной организации), заключившая соглашение о присоединении с оператором Цифрового сервиса ЕЦК и участвующая в выпуске, выдаче и обслуживании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оператор Цифрового сервиса ЕЦК - отобранное уполномоченным органом на конкурсной основе юридическое лицо для создания, ввода в эксплуатацию, функционирования и развития ИС ЕЦК, организации выпуска, выдачи и обслуживания ЕЦК (</w:t>
      </w:r>
      <w:hyperlink w:anchor="P197" w:tooltip="ПОЛОЖЕНИЕ">
        <w:r>
          <w:rPr>
            <w:color w:val="0000FF"/>
          </w:rPr>
          <w:t>приложение N 2</w:t>
        </w:r>
      </w:hyperlink>
      <w:r>
        <w:t xml:space="preserve"> к Положению);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пункт обслуживания - место, организованное банком-эмитентом ЕЦК для приема заявлений о выпуске, перевыпуске, прекращении действия ЕЦК, для выдачи или блокировки ЕЦК на основании заключенного соглашения о присоеди</w:t>
      </w:r>
      <w:r>
        <w:t>нении к ИС ЕЦК;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17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</w:t>
      </w:r>
      <w:r>
        <w:t>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соглашение о присоединении к ИС ЕЦК (далее - соглашение о присоединении) - соглашение, заключаемое между оператором Цифрового сервиса ЕЦК и функциональными заказчиками приложений (сервисов), банком-эмитентом ЕЦК, партнерами приложе</w:t>
      </w:r>
      <w:r>
        <w:t>ний (сервисов) ЕЦК и иными участниками ИС ЕЦК, по форме, утверждаемой уполномоченным органом;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п</w:t>
      </w:r>
      <w:r>
        <w:t>артнер приложений (сервисов) ЕЦК - организация или индивидуальный предприниматель, осуществляющие деятельность на потребительском рынке Рязанской области, в том числе в сфере розничной торговли, общественного питания и бытового обслуживания, сведения о кот</w:t>
      </w:r>
      <w:r>
        <w:t>орых включены оператором Цифрового сервиса ЕЦК в реестр партнеров приложений (сервисов) ЕЦК, предоставляющих держателю ЕЦК доступ к программам лояльности. Порядок ведения реестра партнеров приложений (сервисов) ЕЦК, предоставляющих держателю ЕЦК доступ к п</w:t>
      </w:r>
      <w:r>
        <w:t>рограммам лояльности, устанавливается оператором Цифрового сервиса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функциональные заказчики приложений (сервисов) ЕЦК - исполнительные органы Рязанской области и подведомственные им учреждения, органы местного самоуправления муниципальных образовани</w:t>
      </w:r>
      <w:r>
        <w:t>й Рязанской области (по согласованию), осуществляющие информационное взаимодействие с оператором Цифрового сервиса ЕЦК в процессе функционирования соответствующих приложений (сервисов) Цифрового сервиса ЕЦК;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соглашение об информационном обмене - с</w:t>
      </w:r>
      <w:r>
        <w:t>оглашение, заключаемое между оператором Цифрового сервиса ЕЦК и функциональными заказчиками приложений (сервисов) ЕЦК, партнерами приложений (сервисов) ЕЦК, иными участниками ИС ЕЦК, устанавливающее сроки, порядок и форму обмена информацией, объем передава</w:t>
      </w:r>
      <w:r>
        <w:t>емых сведений, необходимых для обеспечения работы соответствующего приложения (сервиса), по форме, утверждаемой оператором Цифрового сервиса ЕЦК;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иные участники ИС ЕЦК - исполнительные органы Рязанской области и подведомственные им учреждения, орг</w:t>
      </w:r>
      <w:r>
        <w:t>аны местного самоуправления муниципальных образований Рязанской области (по согласованию), не являющиеся функциональными заказчиками приложений (сервисов) ЕЦК, осуществляющие информационное взаимодействие с оператором Цифрового сервиса ЕЦК в соответствии с</w:t>
      </w:r>
      <w:r>
        <w:t xml:space="preserve"> соглашением об информационном обмене в целях предоставления мер социальной поддержки, социальных, медицинских, транспортных и иных услуг, участия в программах лояльности с использованием ЕЦК.</w:t>
      </w:r>
    </w:p>
    <w:p w:rsidR="007D689B" w:rsidRDefault="00AC4A6E">
      <w:pPr>
        <w:pStyle w:val="ConsPlusNormal0"/>
        <w:jc w:val="both"/>
      </w:pPr>
      <w:r>
        <w:t xml:space="preserve">(абзац введен </w:t>
      </w:r>
      <w:hyperlink r:id="rId21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27.06.2023 N 250)</w:t>
      </w: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Title0"/>
        <w:jc w:val="center"/>
        <w:outlineLvl w:val="1"/>
      </w:pPr>
      <w:r>
        <w:t>2. Участники отношений, связанных с выпуском, вы</w:t>
      </w:r>
      <w:r>
        <w:t>дачей</w:t>
      </w:r>
    </w:p>
    <w:p w:rsidR="007D689B" w:rsidRDefault="00AC4A6E">
      <w:pPr>
        <w:pStyle w:val="ConsPlusTitle0"/>
        <w:jc w:val="center"/>
      </w:pPr>
      <w:r>
        <w:t>и обслуживанием ЕЦК</w:t>
      </w: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Normal0"/>
        <w:ind w:firstLine="540"/>
        <w:jc w:val="both"/>
      </w:pPr>
      <w:r>
        <w:t>2.1. Участниками отношений, связанных с выпуском, выдачей и обслуживанием ЕЦК (далее - участники ИС ЕЦК), являются: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держатели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уполномоченный орган;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функциональные заказчики приложений (сервисов)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оператор Цифрово</w:t>
      </w:r>
      <w:r>
        <w:t>го сервиса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банки-эмитенты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партнеры приложений (сервисов)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иные участники ИС ЕЦК.</w:t>
      </w:r>
    </w:p>
    <w:p w:rsidR="007D689B" w:rsidRDefault="00AC4A6E">
      <w:pPr>
        <w:pStyle w:val="ConsPlusNormal0"/>
        <w:jc w:val="both"/>
      </w:pPr>
      <w:r>
        <w:t xml:space="preserve">(абзац введен </w:t>
      </w:r>
      <w:hyperlink r:id="rId22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2.2. Уполномоченный орган: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координирует работы по созданию, вводу в эксплуатацию, функционированию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осуществляет координацию взаим</w:t>
      </w:r>
      <w:r>
        <w:t>одействия участников ИС ЕЦК в процессе ее создания и функционирования;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утверждает разработанный оператором Цифрового сервиса ЕЦК порядок информационного обмена между участниками ИС ЕЦК, изменения в указанный порядок, связанные с модернизацией и развитием</w:t>
      </w:r>
      <w:r>
        <w:t xml:space="preserve">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утверждает разработанные оператором Цифрового сервиса ЕЦК Технические требования для присоединения к ИС ЕЦК функциональных заказчиков приложений (сервисов) ЕЦК, партнеров приложений (сервисов) ЕЦК (далее - Технические требования для присоединения к ИС ЕЦ</w:t>
      </w:r>
      <w:r>
        <w:t>К);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организует обучение персонала участников ИС ЕЦК, в компетенцию которых входит реализация мероприятий, необходимых для функционирования соответствующих приложений (сервисов)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осуществляет контроль функционирования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осуществляет информирование населения через средства массовой информации о функционировании Цифрового сервиса ЕЦК, о способах его использования, о приложениях (сервисах) ЕЦК, а также представляет иную информацию, связанную с Цифровым сервисом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2.3. Д</w:t>
      </w:r>
      <w:r>
        <w:t>ержатель ЕЦК обязан использовать ЕЦК в соответствии с настоящим Положением, а также при использовании расчетного приложения ЕЦК - в соответствии с действующими правилами банка-эмитента и НСПК. Держатель ЕЦК не должен передавать ЕЦК другим лицам.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2.4. Функц</w:t>
      </w:r>
      <w:r>
        <w:t>иональные заказчики приложений (сервисов) ЕЦК в пределах своей компетенции исполняют обязательства, предусмотренные соглашением о присоединении.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2.5. Функциональные заказчики приложений (сервисов) ЕЦК согласуют с оператором Цифрового сервиса ЕЦК порядок (п</w:t>
      </w:r>
      <w:r>
        <w:t>равила) работы соответствующего приложения (сервиса) ЕЦК, состав данных и информации, подлежащей обмену между участниками ИС ЕЦК в рамках приложения (сервиса)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2.6. Оператор Цифрового сервиса ЕЦК осуществляет свою деятельность в соответствии с настоящи</w:t>
      </w:r>
      <w:r>
        <w:t>м Положением, а также соглашением, заключаемым с уполномоченным органом по результатам конкурсного отбора оператора Цифрового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2.7. Статус оператора Цифрового сервиса ЕЦК присваивается юридическому лицу по результатам конкурсного отбора, который провод</w:t>
      </w:r>
      <w:r>
        <w:t>ится уполномоченным органом, на срок 10 лет.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2.8. Участие банка-эмитента ЕЦК в выпуске, выдаче и обслуживании ЕЦК осуществляется в соответствии с настоящим Положением и на основании заключенного с оператором Цифрового сервиса ЕЦК соглашения о присоединении</w:t>
      </w:r>
      <w:r>
        <w:t xml:space="preserve"> в качестве банка-эмитента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2.9. Кредитная организация, претендующая на участие в отношениях, связанных с выпуском, выдачей и обслуживанием ЕЦК в качестве банка-эмитента ЕЦК, направляет оператору Цифрового сервиса ЕЦК заявление по форме, установленной </w:t>
      </w:r>
      <w:r>
        <w:t>уполномоченным органом, с приложением документов, подтверждающих ее соответствие условиям участия кредитной организации (далее - документы).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2.10. Оператор Цифрового сервиса ЕЦК рассматривает заявление кредитной организации с документами и принимает решени</w:t>
      </w:r>
      <w:r>
        <w:t>е о соответствии или о несоответствии кредитной организации условиям участия кредитной организации в течение 30 рабочих дней со дня его поступления.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2.11. Оператор Цифрового сервиса ЕЦК оставляет заявление кредитной организации без рассмотрения в следующих</w:t>
      </w:r>
      <w:r>
        <w:t xml:space="preserve"> случаях: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несоответствие заявления установленной форме;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непредставление (представление не в полном объеме) документов.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2.12. В случае принятия решения о несоответствии кредитной организации условиям участия кредитной организации оператор Цифрового серв</w:t>
      </w:r>
      <w:r>
        <w:t>иса ЕЦК направляет данной кредитной организации уведомление о невозможности заключения соглашения о присоединении в качестве банка-эмитента ЕЦК с указанием причин невозможности его заключения в течение 5 рабочих дней со дня принятия им такого решения.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2.13</w:t>
      </w:r>
      <w:r>
        <w:t xml:space="preserve">. В случае принятия решения о соответствии кредитной организации условиям участия кредитной организации оператор Цифрового сервиса ЕЦК направляет данной кредитной организации подписанный оператором Цифрового сервиса ЕЦК проект соглашения о присоединении в </w:t>
      </w:r>
      <w:r>
        <w:t>качестве банка-эмитента ЕЦК в двух экземплярах не позднее 3 рабочих дней со дня принятия им такого решения.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2.14. Кредитная организация подписывает проект соглашения об участии в качестве банка-эмитента ЕЦК и возвращает один экземпляр подписанного соглашен</w:t>
      </w:r>
      <w:r>
        <w:t>ия оператору Цифрового сервиса ЕЦК не позднее 14 рабочих дней со дня получения проекта соглашения.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2.15. Партнеры приложений (сервисов) ЕЦК представляют держателям ЕЦК доступ к программам лояльности в соответствии с соглашением о присоединении и Технически</w:t>
      </w:r>
      <w:r>
        <w:t>ми требованиями для присоединения к ИС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2.16. Обработка данных заявителей и держателей ЕЦК в ИС ЕЦК, включая обмен такими данными между участниками отношений, связанных с выпуском, выдачей, перевыпуском и обслуживанием ЕЦК, осуществляется с соблюдением</w:t>
      </w:r>
      <w:r>
        <w:t xml:space="preserve"> требований, установленных законодательством Российской Федерации о персональных данных (в случае обработки персональных данных) и о защите информации, а также с использованием сертифицированных средств защиты информации и баз данных (центров обработки дан</w:t>
      </w:r>
      <w:r>
        <w:t>ных), находящихся на территории Российской Федерации.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Рязанской области от 27.06.2023 N 250)</w:t>
      </w: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Title0"/>
        <w:jc w:val="center"/>
        <w:outlineLvl w:val="1"/>
      </w:pPr>
      <w:r>
        <w:t>3. Выпуск, выдача и обслуживание ЕЦК</w:t>
      </w: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Normal0"/>
        <w:ind w:firstLine="540"/>
        <w:jc w:val="both"/>
      </w:pPr>
      <w:bookmarkStart w:id="1" w:name="P119"/>
      <w:bookmarkEnd w:id="1"/>
      <w:r>
        <w:t>3.1. Выпуск ЕЦК осуществляется банком-эмитентом ЕЦК на основании заявления заявителя о выпуске ЕЦК по форме, установленной банком-эмитентом (далее - заявлен</w:t>
      </w:r>
      <w:r>
        <w:t>ие), при предъявлении документа, удостоверяющего личность, документа, подтверждающего полномочия представителя (законного представителя) (в случае подачи заявления представителем (законным представителем), страхового номера индивидуального лицевого счета (</w:t>
      </w:r>
      <w:r>
        <w:t>в случае подачи заявления представителем (законным представителем) также в отношении лица, который будет являться держателем ЕЦК), письменного согласия законного представителя несовершеннолетнего лица в возрасте от четырнадцати до восемнадцати лет, если ин</w:t>
      </w:r>
      <w:r>
        <w:t>ой порядок не предусмотрен банком-эмитентом в соответствии с действующим законодательством Российской Федерации (для заявителей в возрасте от четырнадцати до восемнадцати лет), согласия на обработку персональных данных, согласия на получение мер социальной</w:t>
      </w:r>
      <w:r>
        <w:t xml:space="preserve"> поддержки в денежной форме на банковский счет, открытый в банке-эмитенте ЕЦК (по желанию заявителей, являющихся получателями мер социальной поддержки).</w:t>
      </w:r>
    </w:p>
    <w:p w:rsidR="007D689B" w:rsidRDefault="00AC4A6E">
      <w:pPr>
        <w:pStyle w:val="ConsPlusNormal0"/>
        <w:jc w:val="both"/>
      </w:pPr>
      <w:r>
        <w:t xml:space="preserve">(п. 3.1 в ред. </w:t>
      </w:r>
      <w:hyperlink r:id="rId24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3.2. Заявление о выпуске ЕЦК может подаваться заявителем в банк-эмитент или в пункт обслуживания.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25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3.3. Выдача ЕЦК может осуществляться: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26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27.06.2023 N 250;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банком-эмитентом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пунктом обслуживания.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3.4. Основаниями для отказа в выдаче ЕЦК я</w:t>
      </w:r>
      <w:r>
        <w:t>вляются: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обращение лица, не являющегося заявителем в соответствии с настоящим Положением;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- наличие у заявителя действующей ЕЦК, ранее выданной в соответствии с настоящим Положением, за исключением случаев перевыпуска ЕЦК по основаниям, указанным в </w:t>
      </w:r>
      <w:hyperlink w:anchor="P133" w:tooltip="3.7. Первоначальный выпуск и выдача ЕЦК, перевыпуск ЕЦК в случае истечения ее срока действия, а также в связи с необходимостью подключения и (или) обновления приложений (сервисов) ЕЦК, подключение и (или) обновление которых без замены ЕЦК невозможно, осуществл">
        <w:r>
          <w:rPr>
            <w:color w:val="0000FF"/>
          </w:rPr>
          <w:t>пункте 3.7</w:t>
        </w:r>
      </w:hyperlink>
      <w:r>
        <w:t xml:space="preserve"> настоящего Положения;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- непредставление документов, указанных в </w:t>
      </w:r>
      <w:hyperlink w:anchor="P119" w:tooltip="3.1. Выпуск ЕЦК осуществляется банком-эмитентом ЕЦК на основании заявления заявителя о выпуске ЕЦК по форме, установленной банком-эмитентом (далее - заявление), при предъявлении документа, удостоверяющего личность, документа, подтверждающего полномочия предста">
        <w:r>
          <w:rPr>
            <w:color w:val="0000FF"/>
          </w:rPr>
          <w:t>пункте 3.1</w:t>
        </w:r>
      </w:hyperlink>
      <w:r>
        <w:t xml:space="preserve"> настоящего Положения.</w:t>
      </w:r>
    </w:p>
    <w:p w:rsidR="007D689B" w:rsidRDefault="00AC4A6E">
      <w:pPr>
        <w:pStyle w:val="ConsPlusNormal0"/>
        <w:spacing w:before="200"/>
        <w:ind w:firstLine="540"/>
        <w:jc w:val="both"/>
      </w:pPr>
      <w:bookmarkStart w:id="2" w:name="P131"/>
      <w:bookmarkEnd w:id="2"/>
      <w:r>
        <w:t>3.5. Срок выпуска и выдачи ЕЦК не должен превышать 15 рабочих дней с даты посту</w:t>
      </w:r>
      <w:r>
        <w:t>пления заявления в банк-эмитент, оператору Цифрового сервиса ЕЦК или в пункт обслуживания.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3.6. Срок действия ЕЦК равен сроку действия банковской карты платежной системы "МИР".</w:t>
      </w:r>
    </w:p>
    <w:p w:rsidR="007D689B" w:rsidRDefault="00AC4A6E">
      <w:pPr>
        <w:pStyle w:val="ConsPlusNormal0"/>
        <w:spacing w:before="200"/>
        <w:ind w:firstLine="540"/>
        <w:jc w:val="both"/>
      </w:pPr>
      <w:bookmarkStart w:id="3" w:name="P133"/>
      <w:bookmarkEnd w:id="3"/>
      <w:r>
        <w:t>3.7. Первоначальный выпуск и выдача ЕЦК, перевыпуск ЕЦК в случае истечения ее срока действия, а также в связи с необходимостью подключения и (или) обновления приложений (</w:t>
      </w:r>
      <w:r>
        <w:t>сервисов) ЕЦК, подключение и (или) обновление которых без замены ЕЦК невозможно, осуществляются на безвозмездной основе. Размер взимаемой платы за перевыпуск ЕЦК в случае повреждения или утраты ЕЦК до истечения срока ее действия определяется условиями дого</w:t>
      </w:r>
      <w:r>
        <w:t>вора между держателем ЕЦК и банком-эмитентом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3.8. Действие ЕЦК прекращается в связи с окончанием срока действия ЕЦК, а также по заявлению держателя ЕЦК в случаях: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утраты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физического износа или повреждения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изменения учетных данных держа</w:t>
      </w:r>
      <w:r>
        <w:t>теля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отказ от использования ЕЦК.</w:t>
      </w:r>
    </w:p>
    <w:p w:rsidR="007D689B" w:rsidRDefault="00AC4A6E">
      <w:pPr>
        <w:pStyle w:val="ConsPlusNormal0"/>
        <w:jc w:val="both"/>
      </w:pPr>
      <w:r>
        <w:t xml:space="preserve">(абзац введен </w:t>
      </w:r>
      <w:hyperlink r:id="rId27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3.9. Перевыпуск и выдача ЕЦК держателю ЕЦК осуществляются в сроки, установленные </w:t>
      </w:r>
      <w:hyperlink w:anchor="P131" w:tooltip="3.5. Срок выпуска и выдачи ЕЦК не должен превышать 15 рабочих дней с даты поступления заявления в банк-эмитент, оператору Цифрового сервиса ЕЦК или в пункт обслуживания.">
        <w:r>
          <w:rPr>
            <w:color w:val="0000FF"/>
          </w:rPr>
          <w:t>пунктом 3.5</w:t>
        </w:r>
      </w:hyperlink>
      <w:r>
        <w:t xml:space="preserve"> настоящего Положения, на основании заявления держателя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3.10. Банк-эмитент ЕЦК, принявший заявление, открывает заявителю банковский счет, предусматривающий осу</w:t>
      </w:r>
      <w:r>
        <w:t>ществление операций с использованием ЕЦК, и передает информацию о выданной ЕЦК и открытом банковском счете, предусматривающем осуществление операций с использованием ЕЦК, оператору Цифрового сервиса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Оператор Цифрового сервиса ЕЦК в рамках соглашения о</w:t>
      </w:r>
      <w:r>
        <w:t>б информационном обмене передает соответствующему функциональному заказчику приложения (сервиса) ЕЦК, представляющему меры социальной поддержки, в том числе в денежной форме, сведения о согласии держателя ЕЦК на получение мер социальной поддержки в денежно</w:t>
      </w:r>
      <w:r>
        <w:t>й форме на открытый банковский счет в банке-эмитенте ЕЦК.</w:t>
      </w:r>
    </w:p>
    <w:p w:rsidR="007D689B" w:rsidRDefault="00AC4A6E">
      <w:pPr>
        <w:pStyle w:val="ConsPlusNormal0"/>
        <w:jc w:val="both"/>
      </w:pPr>
      <w:r>
        <w:t xml:space="preserve">(абзац введен </w:t>
      </w:r>
      <w:hyperlink r:id="rId28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Для обеспечения доступа держателя ЕЦК к получению мер социальной поддержки с использованием ЕЦК сведения, подтверждающие его право на получение мер социальной поддержки (при наличии та</w:t>
      </w:r>
      <w:r>
        <w:t>кого права), записываются на ЕЦК оператором Цифрового сервиса ЕЦК на основании информации, предоставленной в рамках соглашений об информационном обмене функциональными заказчиками приложений (сервисов) и (или) иными участниками ИС ЕЦК, принявшими решение о</w:t>
      </w:r>
      <w:r>
        <w:t>б отнесении держателя ЕЦК к соответствующей категории получателя мер социальной поддержки.</w:t>
      </w:r>
    </w:p>
    <w:p w:rsidR="007D689B" w:rsidRDefault="00AC4A6E">
      <w:pPr>
        <w:pStyle w:val="ConsPlusNormal0"/>
        <w:jc w:val="both"/>
      </w:pPr>
      <w:r>
        <w:t xml:space="preserve">(абзац введен </w:t>
      </w:r>
      <w:hyperlink r:id="rId29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3.11. Выпуск, выдача, перевыпуск, прекращение действия, блокировка и обслуживание ЕЦК осуществляются банком-эмитентом с соблюдением требований законода</w:t>
      </w:r>
      <w:r>
        <w:t>тельства Российской Федерации о банках и банковской деятельности.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3.12. При утере, хищении ЕЦК держатель ЕЦК незамедлительно уведомляет банк-эмитент ЕЦК о необходимости блокировки ЕЦК по телефону с использованием кодового слова, указываемого в заявлении. Банк-эмитент блокирует ЕЦК и разъясняют держателю ЕЦК возможные дал</w:t>
      </w:r>
      <w:r>
        <w:t>ьнейшие действия.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</w:t>
      </w:r>
      <w:r>
        <w:t>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3.13. В составе ИС ЕЦК предусмотрена возможность функционирования следующих приложений (сервисов) ЕЦК: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1) социальное приложение (сервис) позволяет держателям ЕЦК получать меры социальной поддержки, предусмотренные законодательством</w:t>
      </w:r>
      <w:r>
        <w:t xml:space="preserve"> Рязанской области, в виде компенсаций и выплат с использованием расчетного приложения ЕЦК; оказывать и получать адресную социальную поддержку отдельным категориям граждан в соответствии с законодательством Рязанской области, в том числе с использованием э</w:t>
      </w:r>
      <w:r>
        <w:t>лектронного сертификата; является идентификатором держателя ЕЦК как получателя мер социальной поддержки (ЕЦК не является документом, удостоверяющим личность);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2) транспортное приложение (сервис) обеспечивает возможность получения меры социальной поддержки </w:t>
      </w:r>
      <w:r>
        <w:t>в виде льготного проезда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</w:t>
      </w:r>
      <w:r>
        <w:t xml:space="preserve">шрутам, соединяющим административный центр муниципального района Рязанской области с населенными пунктами данного муниципального района, гражданами, имеющими право на данную меру в соответствии с законодательством Рязанской области, или возможность оплаты </w:t>
      </w:r>
      <w:r>
        <w:t xml:space="preserve">проезда за полную стоимость в городском наземном электрическом транспорте общего пользования и автомобильном транспорте общего пользования городского и пригородного сообщения Рязанской области, оборудованном соответствующими терминалами, по муниципальным, </w:t>
      </w:r>
      <w:r>
        <w:t>межмуниципальным маршрутам регулярных перевозок;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3) медицинское приложение (сервис) используется в целях получения льготных лекарственных препаратов в аптечных организациях отдельными категориями граждан в соответствии с законодательством Рязанской области</w:t>
      </w:r>
      <w:r>
        <w:t>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4) информационное приложение (сервис) обеспечивает доступ держателям ЕЦК к информации о других приложениях (сервисах)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5) расчетное приложение (сервис) обеспечивает доступ держателю ЕЦК к банковскому счету, открытому им в банке-эмитенте ЕЦК, позво</w:t>
      </w:r>
      <w:r>
        <w:t>ляет получать бонусы и скидки по программам лояльности у партнеров приложений (сервисов)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3.14. Ввод в действие нового приложения (сервиса) ЕЦК осуществляется на основании соглашения о присоединении, заключенного между оператором Цифрового сервиса ЕЦК </w:t>
      </w:r>
      <w:r>
        <w:t>и функциональным заказчиком приложения (сервиса) ЕЦК.</w:t>
      </w: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Normal0"/>
        <w:jc w:val="right"/>
        <w:outlineLvl w:val="1"/>
      </w:pPr>
      <w:r>
        <w:t>Приложение N 1</w:t>
      </w:r>
    </w:p>
    <w:p w:rsidR="007D689B" w:rsidRDefault="00AC4A6E">
      <w:pPr>
        <w:pStyle w:val="ConsPlusNormal0"/>
        <w:jc w:val="right"/>
      </w:pPr>
      <w:r>
        <w:t>к Положению</w:t>
      </w:r>
    </w:p>
    <w:p w:rsidR="007D689B" w:rsidRDefault="00AC4A6E">
      <w:pPr>
        <w:pStyle w:val="ConsPlusNormal0"/>
        <w:jc w:val="right"/>
      </w:pPr>
      <w:r>
        <w:t>об универсальном платежно-сервисном</w:t>
      </w:r>
    </w:p>
    <w:p w:rsidR="007D689B" w:rsidRDefault="00AC4A6E">
      <w:pPr>
        <w:pStyle w:val="ConsPlusNormal0"/>
        <w:jc w:val="right"/>
      </w:pPr>
      <w:r>
        <w:t>инструменте для населения Рязанской области -</w:t>
      </w:r>
    </w:p>
    <w:p w:rsidR="007D689B" w:rsidRDefault="00AC4A6E">
      <w:pPr>
        <w:pStyle w:val="ConsPlusNormal0"/>
        <w:jc w:val="right"/>
      </w:pPr>
      <w:r>
        <w:t>цифровом сервисе "Единая цифровая карта</w:t>
      </w:r>
    </w:p>
    <w:p w:rsidR="007D689B" w:rsidRDefault="00AC4A6E">
      <w:pPr>
        <w:pStyle w:val="ConsPlusNormal0"/>
        <w:jc w:val="right"/>
      </w:pPr>
      <w:r>
        <w:t>жителя Рязанской области"</w:t>
      </w: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Title0"/>
        <w:jc w:val="center"/>
      </w:pPr>
      <w:bookmarkStart w:id="4" w:name="P169"/>
      <w:bookmarkEnd w:id="4"/>
      <w:r>
        <w:t>УСЛОВИЯ</w:t>
      </w:r>
    </w:p>
    <w:p w:rsidR="007D689B" w:rsidRDefault="00AC4A6E">
      <w:pPr>
        <w:pStyle w:val="ConsPlusTitle0"/>
        <w:jc w:val="center"/>
      </w:pPr>
      <w:r>
        <w:t>УЧАСТИЯ КРЕДИТНОЙ ОРГАНИЗАЦИИ В КАЧЕСТВЕ БАНКА-ЭМИТЕНТА ЕЦК</w:t>
      </w:r>
    </w:p>
    <w:p w:rsidR="007D689B" w:rsidRDefault="007D689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D68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</w:t>
            </w:r>
          </w:p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>от 27.06.2023 N 250)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</w:tr>
    </w:tbl>
    <w:p w:rsidR="007D689B" w:rsidRDefault="007D689B">
      <w:pPr>
        <w:pStyle w:val="ConsPlusNormal0"/>
        <w:jc w:val="both"/>
      </w:pPr>
    </w:p>
    <w:p w:rsidR="007D689B" w:rsidRDefault="00AC4A6E">
      <w:pPr>
        <w:pStyle w:val="ConsPlusNormal0"/>
        <w:ind w:firstLine="540"/>
        <w:jc w:val="both"/>
      </w:pPr>
      <w:r>
        <w:t>Кредитная организация, претендующая на участие в отношениях, связанных с выпуском, выдачей и обслуживанием ЕЦК в качестве банка-эмитента ЕЦК, на дату подачи заявления должна соответствовать следующим условиям: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1) наличие универсальной или базовой лицензии Центрального банка Российской Федерации на осуществление банковских операций в соответствии с Федеральным </w:t>
      </w:r>
      <w:hyperlink r:id="rId33" w:tooltip="Федеральный закон от 02.12.1990 N 395-1 (ред. от 13.06.2023) &quot;О банках и банковск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02.12.1990 N 395-1 "О банках и банковской деятельности";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27.06.2023 N 250)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2) в отношении кре</w:t>
      </w:r>
      <w:r>
        <w:t>дитной организации не возбуждено производство по делу о несостоятельности (банкротстве), она не находится в процессе реорганизации или ликвидации;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3) в отношении кредитной организации Центральным Банком Российской Федерации не применены меры за нарушение о</w:t>
      </w:r>
      <w:r>
        <w:t xml:space="preserve">бязательных нормативов, установленных в соответствии с Федеральным </w:t>
      </w:r>
      <w:hyperlink r:id="rId35" w:tooltip="Федеральный закон от 10.07.2002 N 86-ФЗ (ред. от 13.06.2023) &quot;О Центральном банке Российской Федерации (Банке России)&quot; {КонсультантПлюс}">
        <w:r>
          <w:rPr>
            <w:color w:val="0000FF"/>
          </w:rPr>
          <w:t>законом</w:t>
        </w:r>
      </w:hyperlink>
      <w:r>
        <w:t xml:space="preserve"> от 10.07.2002 N 86-ФЗ "О Центральном банке Российской Федерации (Банке России)" (официальные данные, размещенные на официальном сайте Центрального ба</w:t>
      </w:r>
      <w:r>
        <w:t>нка Российской Федерации в информационно-телекоммуникационной сети "Интернет" на последнюю отчетную дату);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4) участие в национальной платежной системе "Мир" в соответствии с законодательством Российской Федерации о национальной платежной системе;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5) участи</w:t>
      </w:r>
      <w:r>
        <w:t xml:space="preserve">е в системе обязательного страхования вкладов в банках Российской Федерации в соответствии с Федеральным </w:t>
      </w:r>
      <w:hyperlink r:id="rId36" w:tooltip="Федеральный закон от 23.12.2003 N 177-ФЗ (ред. от 18.03.2023) &quot;О страховании вкладов в банках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23.12.2003 N 177-ФЗ "О страховании вкладов в банках Российской Федерации" (официальные данные, размещенные на о</w:t>
      </w:r>
      <w:r>
        <w:t>фициальном сайте Центрального банка Российской Федерации в информационно-телекоммуникационной сети "Интернет" на последнюю отчетную дату);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6) отсутствие у кредитной организации просроченной (неурегулированной) задолженности по денежным обязательствам перед</w:t>
      </w:r>
      <w:r>
        <w:t xml:space="preserve"> Рязанской областью 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7) наличие положительного аудиторского за</w:t>
      </w:r>
      <w:r>
        <w:t xml:space="preserve">ключения по итогам работы банка за последний отчетный финансовый год, а также по отчетности, составленной в соответствии с Международными стандартами финансовой отчетности и/или Российскими стандартами бухгалтерского учета за последний отчетный финансовый </w:t>
      </w:r>
      <w:r>
        <w:t>год.</w:t>
      </w:r>
    </w:p>
    <w:p w:rsidR="007D689B" w:rsidRDefault="00AC4A6E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27.06.</w:t>
      </w:r>
      <w:r>
        <w:t>2023 N 250)</w:t>
      </w: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Normal0"/>
        <w:jc w:val="right"/>
        <w:outlineLvl w:val="1"/>
      </w:pPr>
      <w:r>
        <w:t>Приложение N 2</w:t>
      </w:r>
    </w:p>
    <w:p w:rsidR="007D689B" w:rsidRDefault="00AC4A6E">
      <w:pPr>
        <w:pStyle w:val="ConsPlusNormal0"/>
        <w:jc w:val="right"/>
      </w:pPr>
      <w:r>
        <w:t>к Положению</w:t>
      </w:r>
    </w:p>
    <w:p w:rsidR="007D689B" w:rsidRDefault="00AC4A6E">
      <w:pPr>
        <w:pStyle w:val="ConsPlusNormal0"/>
        <w:jc w:val="right"/>
      </w:pPr>
      <w:r>
        <w:t>об универсальном платежно-сервисном</w:t>
      </w:r>
    </w:p>
    <w:p w:rsidR="007D689B" w:rsidRDefault="00AC4A6E">
      <w:pPr>
        <w:pStyle w:val="ConsPlusNormal0"/>
        <w:jc w:val="right"/>
      </w:pPr>
      <w:r>
        <w:t>инструменте для населения Рязанской области -</w:t>
      </w:r>
    </w:p>
    <w:p w:rsidR="007D689B" w:rsidRDefault="00AC4A6E">
      <w:pPr>
        <w:pStyle w:val="ConsPlusNormal0"/>
        <w:jc w:val="right"/>
      </w:pPr>
      <w:r>
        <w:t>цифровом сервисе "Единая цифровая</w:t>
      </w:r>
    </w:p>
    <w:p w:rsidR="007D689B" w:rsidRDefault="00AC4A6E">
      <w:pPr>
        <w:pStyle w:val="ConsPlusNormal0"/>
        <w:jc w:val="right"/>
      </w:pPr>
      <w:r>
        <w:t>карта жителя Рязанской области"</w:t>
      </w:r>
    </w:p>
    <w:p w:rsidR="007D689B" w:rsidRDefault="007D689B">
      <w:pPr>
        <w:pStyle w:val="ConsPlusNormal0"/>
        <w:jc w:val="both"/>
      </w:pPr>
    </w:p>
    <w:p w:rsidR="007D689B" w:rsidRDefault="00AC4A6E">
      <w:pPr>
        <w:pStyle w:val="ConsPlusTitle0"/>
        <w:jc w:val="center"/>
      </w:pPr>
      <w:bookmarkStart w:id="5" w:name="P197"/>
      <w:bookmarkEnd w:id="5"/>
      <w:r>
        <w:t>ПОЛОЖЕНИЕ</w:t>
      </w:r>
    </w:p>
    <w:p w:rsidR="007D689B" w:rsidRDefault="00AC4A6E">
      <w:pPr>
        <w:pStyle w:val="ConsPlusTitle0"/>
        <w:jc w:val="center"/>
      </w:pPr>
      <w:r>
        <w:t>ОБ ОПЕРАТОРЕ ЦИФРОВОГО СЕРВИСА ЕЦК</w:t>
      </w:r>
    </w:p>
    <w:p w:rsidR="007D689B" w:rsidRDefault="007D689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D68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</w:t>
            </w:r>
            <w:r>
              <w:rPr>
                <w:color w:val="392C69"/>
              </w:rPr>
              <w:t>анской области</w:t>
            </w:r>
          </w:p>
          <w:p w:rsidR="007D689B" w:rsidRDefault="00AC4A6E">
            <w:pPr>
              <w:pStyle w:val="ConsPlusNormal0"/>
              <w:jc w:val="center"/>
            </w:pPr>
            <w:r>
              <w:rPr>
                <w:color w:val="392C69"/>
              </w:rPr>
              <w:t>от 27.06.2023 N 250)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9B" w:rsidRDefault="007D689B">
            <w:pPr>
              <w:pStyle w:val="ConsPlusNormal0"/>
            </w:pPr>
          </w:p>
        </w:tc>
      </w:tr>
    </w:tbl>
    <w:p w:rsidR="007D689B" w:rsidRDefault="007D689B">
      <w:pPr>
        <w:pStyle w:val="ConsPlusNormal0"/>
        <w:jc w:val="both"/>
      </w:pPr>
    </w:p>
    <w:p w:rsidR="007D689B" w:rsidRDefault="00AC4A6E">
      <w:pPr>
        <w:pStyle w:val="ConsPlusNormal0"/>
        <w:ind w:firstLine="540"/>
        <w:jc w:val="both"/>
      </w:pPr>
      <w:r>
        <w:t>1. Оператором Цифрового сервиса ЕЦК является юридическое лицо, отобранное уполномоченным органом на конкурсной основе для создания ИС ЕЦК, ввода в эксплуатацию, функционирования и развития ИС ЕЦК, организации выпуска,</w:t>
      </w:r>
      <w:r>
        <w:t xml:space="preserve"> выдачи и обслуживания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2. Оператор Цифрового сервиса ЕЦК в своей деятельности руководствуется действующим законодательством Российской Федерации и законодательством Рязанской области.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3. Оператор Цифрового сервиса ЕЦК: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обеспечивает создание, ввод в эксплуатацию, функционирование и развитие ИС ЕЦК в соответствии с настоящим Положением;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обеспечивает техническую и пользовательскую поддержку участников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осуществляет управление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разрабатывает и представл</w:t>
      </w:r>
      <w:r>
        <w:t>яет на утверждение уполномоченному органу Технические требования для присоединения к ИС ЕЦК, порядок информационного обмена участников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разрабатывает и утверждает порядок (правила) функционирования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обеспечивает подключение к ИС ЕЦК функц</w:t>
      </w:r>
      <w:r>
        <w:t>иональных заказчиков приложений (сервисов) ЕЦК и партнеров приложений (сервисов) ЕЦК в соответствии с соглашениями о присоединении;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оценивает техническую готовность функциональных заказчиков приложений (сервисов) ЕЦК и партнеров приложений (сервисов) ЕЦК</w:t>
      </w:r>
      <w:r>
        <w:t>, организует выпуск и выдачу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устанавливает порядок ведения и ведет реестр партнеров приложений (сервисов) ЕЦК предоставляющих держателям ЕЦК доступ к программам лояльности;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обеспечивает в соответствии с соглашением об информационном обмене информа</w:t>
      </w:r>
      <w:r>
        <w:t>ционный обмен данными между ИС ЕЦК и информационными системами участников ИС ЕЦК при условии их соответствия Техническим требованиям для присоединения к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осуществляет взаимодействие с участниками ИС ЕЦК, предоставляющими меры социальной поддержки,</w:t>
      </w:r>
      <w:r>
        <w:t xml:space="preserve"> социальные, медицинские, транспортные и иные услуги, предусмотренные законодательством Рязанской области, при приеме и обработке данных, поступивших в ИС ЕЦК, формировании отчетов по операциям с ЕЦК в соответствии с соглашением об информационном обмене;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</w:t>
      </w:r>
      <w:r>
        <w:t xml:space="preserve"> обеспечивает представление информационных отчетов (информации) участникам ИС ЕЦК в соответствии с соглашением об информационном обмене;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обеспечивает соблюдение порядка ограниченного доступа участников ИС ЕЦК к отдельным видам информации согласно требова</w:t>
      </w:r>
      <w:r>
        <w:t>ниям, установленным соглашением о присоединении;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проводит претензионную работу в части обслуживания ЕЦК и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- развивает ИС ЕЦК в части ее функционального наполнения и расширения числа ее участников (в том числе функциональных заказчиков приложений </w:t>
      </w:r>
      <w:r>
        <w:t>(сервисов) ЕЦК и партнеров приложений (сервисов) ЕЦК.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4. Оператор Цифрового сервиса ЕЦК в целях организации выпуска, выдачи и обслуживания ЕЦК осуществляет следующие функции: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39" w:tooltip="Постановление Правительства Рязанской области от 27.06.2023 N 250 &quot;О внесении изменений в Постановление Правительства Рязанской области от 25 октября 2022 г. N 380 &quot;О реализации цифрового сервиса &quot;Единая цифровая карта жителя Рязанской области&quot; {КонсультантПлю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27.06.2023 N 250;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рассматривает заявления кредитных организаций, претендую</w:t>
      </w:r>
      <w:r>
        <w:t>щих на участие в отношениях, связанных с выпуском, выдачей и обслуживанием ЕЦК в качестве банка-эмитента ЕЦК, и принимает решения о соответствии или несоответствии кредитной организации условиям участия кредитной организации;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заключает с кредитной органи</w:t>
      </w:r>
      <w:r>
        <w:t>зацией, соответствующей условиям участия кредитной организации, соглашение о присоединении в качестве банка-эмитента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организует взаимодействие с банком-эмитентом при выпуске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организует и осуществляет обмен информацией с участниками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 xml:space="preserve">- </w:t>
      </w:r>
      <w:r>
        <w:t>осуществляет объединение сведений, содержащихся в информационных системах участников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организует функционирование службы информационной поддержки заявителей и держателей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обеспечивает защиту конфиденциальной информации, полученной от заявите</w:t>
      </w:r>
      <w:r>
        <w:t>лей, и организует соблюдение правил информационной безопасности участниками ИС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обеспечивает методическое сопровождение деятельности сотрудников участников ИС ЕЦК, в том числе в сфере обмена информацией и информационной безопасности;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заключает с па</w:t>
      </w:r>
      <w:r>
        <w:t>ртнерами приложений (сервисов) ЕЦК соглашения о присоединение в качестве партнеров приложений (сервисов)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определяет порядок ведения и ведет реестр ЕЦК, содержащий данные держателей ЕЦК;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реализует иные функции, предусмотренные настоящим Положением.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5. Оператор Цифрового сервиса ЕЦК для осуществления своих функций вправе: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запрашивать и получать от участников ИС ЕЦК информацию, необходимую для осуществления своих функций;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разрабатывать</w:t>
      </w:r>
      <w:r>
        <w:t xml:space="preserve"> методические материалы, технические руководства, регламенты по вопросам, входящим в его компетенцию;</w:t>
      </w:r>
    </w:p>
    <w:p w:rsidR="007D689B" w:rsidRDefault="00AC4A6E">
      <w:pPr>
        <w:pStyle w:val="ConsPlusNormal0"/>
        <w:spacing w:before="200"/>
        <w:ind w:firstLine="540"/>
        <w:jc w:val="both"/>
      </w:pPr>
      <w:r>
        <w:t>- приобретать необходимые программы для ЭВМ, разрабатывать, осуществлять переработку (модификацию) программ для ЭВМ или баз данных (в том числе с привлече</w:t>
      </w:r>
      <w:r>
        <w:t>нием третьих лиц).</w:t>
      </w: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jc w:val="both"/>
      </w:pPr>
    </w:p>
    <w:p w:rsidR="007D689B" w:rsidRDefault="007D689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D689B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A6E" w:rsidRDefault="00AC4A6E">
      <w:r>
        <w:separator/>
      </w:r>
    </w:p>
  </w:endnote>
  <w:endnote w:type="continuationSeparator" w:id="0">
    <w:p w:rsidR="00AC4A6E" w:rsidRDefault="00AC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89B" w:rsidRDefault="007D689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689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D689B" w:rsidRDefault="00AC4A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D689B" w:rsidRDefault="00AC4A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D689B" w:rsidRDefault="00AC4A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D689B" w:rsidRDefault="00AC4A6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89B" w:rsidRDefault="007D689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689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D689B" w:rsidRDefault="00AC4A6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D689B" w:rsidRDefault="00AC4A6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D689B" w:rsidRDefault="00AC4A6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D689B" w:rsidRDefault="00AC4A6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A6E" w:rsidRDefault="00AC4A6E">
      <w:r>
        <w:separator/>
      </w:r>
    </w:p>
  </w:footnote>
  <w:footnote w:type="continuationSeparator" w:id="0">
    <w:p w:rsidR="00AC4A6E" w:rsidRDefault="00AC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7D689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D689B" w:rsidRDefault="00AC4A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25.10.2022 N 380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цифрового сервиса "...</w:t>
          </w:r>
        </w:p>
      </w:tc>
      <w:tc>
        <w:tcPr>
          <w:tcW w:w="2300" w:type="pct"/>
          <w:vAlign w:val="center"/>
        </w:tcPr>
        <w:p w:rsidR="007D689B" w:rsidRDefault="00AC4A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06.07.2023</w:t>
          </w:r>
        </w:p>
      </w:tc>
    </w:tr>
  </w:tbl>
  <w:p w:rsidR="007D689B" w:rsidRDefault="007D689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D689B" w:rsidRDefault="007D689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7D689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D689B" w:rsidRDefault="00AC4A6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25.10.2022 N 380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цифрового серви</w:t>
          </w:r>
          <w:r>
            <w:rPr>
              <w:rFonts w:ascii="Tahoma" w:hAnsi="Tahoma" w:cs="Tahoma"/>
              <w:sz w:val="16"/>
              <w:szCs w:val="16"/>
            </w:rPr>
            <w:t>са "...</w:t>
          </w:r>
        </w:p>
      </w:tc>
      <w:tc>
        <w:tcPr>
          <w:tcW w:w="2300" w:type="pct"/>
          <w:vAlign w:val="center"/>
        </w:tcPr>
        <w:p w:rsidR="007D689B" w:rsidRDefault="00AC4A6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06.07.2023</w:t>
          </w:r>
        </w:p>
      </w:tc>
    </w:tr>
  </w:tbl>
  <w:p w:rsidR="007D689B" w:rsidRDefault="007D689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D689B" w:rsidRDefault="007D689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9B"/>
    <w:rsid w:val="0005466A"/>
    <w:rsid w:val="007D689B"/>
    <w:rsid w:val="00A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51D9-81C1-4F76-879C-F88E3CF3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C30677FC3DC8EAFDABBC4904106C594BEC2A593A7AC0F35D04BEDF6192B5DFE0DBF1CCE1073E48E6D651E18D5566E19E9E72327150B3EE5D382831wDwBL" TargetMode="External"/><Relationship Id="rId18" Type="http://schemas.openxmlformats.org/officeDocument/2006/relationships/hyperlink" Target="consultantplus://offline/ref=ABC30677FC3DC8EAFDABBC4904106C594BEC2A593A7AC0F35D04BEDF6192B5DFE0DBF1CCE1073E48E6D651E18B5566E19E9E72327150B3EE5D382831wDwBL" TargetMode="External"/><Relationship Id="rId26" Type="http://schemas.openxmlformats.org/officeDocument/2006/relationships/hyperlink" Target="consultantplus://offline/ref=ABC30677FC3DC8EAFDABBC4904106C594BEC2A593A7AC0F35D04BEDF6192B5DFE0DBF1CCE1073E48E6D651E38C5566E19E9E72327150B3EE5D382831wDwBL" TargetMode="External"/><Relationship Id="rId39" Type="http://schemas.openxmlformats.org/officeDocument/2006/relationships/hyperlink" Target="consultantplus://offline/ref=ABC30677FC3DC8EAFDABBC4904106C594BEC2A593A7AC0F35D04BEDF6192B5DFE0DBF1CCE1073E48E6D651E48E5566E19E9E72327150B3EE5D382831wDwBL" TargetMode="External"/><Relationship Id="rId21" Type="http://schemas.openxmlformats.org/officeDocument/2006/relationships/hyperlink" Target="consultantplus://offline/ref=ABC30677FC3DC8EAFDABBC4904106C594BEC2A593A7AC0F35D04BEDF6192B5DFE0DBF1CCE1073E48E6D651E28C5566E19E9E72327150B3EE5D382831wDwBL" TargetMode="External"/><Relationship Id="rId34" Type="http://schemas.openxmlformats.org/officeDocument/2006/relationships/hyperlink" Target="consultantplus://offline/ref=ABC30677FC3DC8EAFDABBC4904106C594BEC2A593A7AC0F35D04BEDF6192B5DFE0DBF1CCE1073E48E6D651E48C5566E19E9E72327150B3EE5D382831wDwBL" TargetMode="External"/><Relationship Id="rId42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C30677FC3DC8EAFDABBC4904106C594BEC2A593A7AC0F35D04BEDF6192B5DFE0DBF1CCE1073E48E6D651E1885566E19E9E72327150B3EE5D382831wDwBL" TargetMode="External"/><Relationship Id="rId29" Type="http://schemas.openxmlformats.org/officeDocument/2006/relationships/hyperlink" Target="consultantplus://offline/ref=ABC30677FC3DC8EAFDABBC4904106C594BEC2A593A7AC0F35D04BEDF6192B5DFE0DBF1CCE1073E48E6D651E3895566E19E9E72327150B3EE5D382831wDwB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BC30677FC3DC8EAFDABBC4904106C594BEC2A593A7AC0F35D04BEDF6192B5DFE0DBF1CCE1073E48E6D651E08B5566E19E9E72327150B3EE5D382831wDwBL" TargetMode="External"/><Relationship Id="rId24" Type="http://schemas.openxmlformats.org/officeDocument/2006/relationships/hyperlink" Target="consultantplus://offline/ref=ABC30677FC3DC8EAFDABBC4904106C594BEC2A593A7AC0F35D04BEDF6192B5DFE0DBF1CCE1073E48E6D651E28B5566E19E9E72327150B3EE5D382831wDwBL" TargetMode="External"/><Relationship Id="rId32" Type="http://schemas.openxmlformats.org/officeDocument/2006/relationships/hyperlink" Target="consultantplus://offline/ref=ABC30677FC3DC8EAFDABBC4904106C594BEC2A593A7AC0F35D04BEDF6192B5DFE0DBF1CCE1073E48E6D651E3855566E19E9E72327150B3EE5D382831wDwBL" TargetMode="External"/><Relationship Id="rId37" Type="http://schemas.openxmlformats.org/officeDocument/2006/relationships/hyperlink" Target="consultantplus://offline/ref=ABC30677FC3DC8EAFDABBC4904106C594BEC2A593A7AC0F35D04BEDF6192B5DFE0DBF1CCE1073E48E6D651E48D5566E19E9E72327150B3EE5D382831wDwBL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BC30677FC3DC8EAFDABBC4904106C594BEC2A593A7AC0F35D04BEDF6192B5DFE0DBF1CCE1073E48E6D651E18F5566E19E9E72327150B3EE5D382831wDwBL" TargetMode="External"/><Relationship Id="rId23" Type="http://schemas.openxmlformats.org/officeDocument/2006/relationships/hyperlink" Target="consultantplus://offline/ref=ABC30677FC3DC8EAFDABBC4904106C594BEC2A593A7AC0F35D04BEDF6192B5DFE0DBF1CCE1073E48E6D651E2885566E19E9E72327150B3EE5D382831wDwBL" TargetMode="External"/><Relationship Id="rId28" Type="http://schemas.openxmlformats.org/officeDocument/2006/relationships/hyperlink" Target="consultantplus://offline/ref=ABC30677FC3DC8EAFDABBC4904106C594BEC2A593A7AC0F35D04BEDF6192B5DFE0DBF1CCE1073E48E6D651E38F5566E19E9E72327150B3EE5D382831wDwBL" TargetMode="External"/><Relationship Id="rId36" Type="http://schemas.openxmlformats.org/officeDocument/2006/relationships/hyperlink" Target="consultantplus://offline/ref=ABC30677FC3DC8EAFDABA244127C32534CE376513D7BC3A10654B8883EC2B38AB29BAF95A2452D49E1C853E08Ew5wDL" TargetMode="External"/><Relationship Id="rId10" Type="http://schemas.openxmlformats.org/officeDocument/2006/relationships/hyperlink" Target="consultantplus://offline/ref=ABC30677FC3DC8EAFDABBC4904106C594BEC2A593A7AC0F35D04BEDF6192B5DFE0DBF1CCE1073E48E6D651E08A5566E19E9E72327150B3EE5D382831wDwBL" TargetMode="External"/><Relationship Id="rId19" Type="http://schemas.openxmlformats.org/officeDocument/2006/relationships/hyperlink" Target="consultantplus://offline/ref=ABC30677FC3DC8EAFDABBC4904106C594BEC2A593A7AC0F35D04BEDF6192B5DFE0DBF1CCE1073E48E6D651E1845566E19E9E72327150B3EE5D382831wDwBL" TargetMode="External"/><Relationship Id="rId31" Type="http://schemas.openxmlformats.org/officeDocument/2006/relationships/hyperlink" Target="consultantplus://offline/ref=ABC30677FC3DC8EAFDABBC4904106C594BEC2A593A7AC0F35D04BEDF6192B5DFE0DBF1CCE1073E48E6D651E38B5566E19E9E72327150B3EE5D382831wDwBL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C30677FC3DC8EAFDABBC4904106C594BEC2A593A7AC0F35D04BEDF6192B5DFE0DBF1CCE1073E48E6D651E0895566E19E9E72327150B3EE5D382831wDwBL" TargetMode="External"/><Relationship Id="rId14" Type="http://schemas.openxmlformats.org/officeDocument/2006/relationships/hyperlink" Target="consultantplus://offline/ref=ABC30677FC3DC8EAFDABBC4904106C594BEC2A593A7AC0F35D04BEDF6192B5DFE0DBF1CCE1073E48E6D651E18E5566E19E9E72327150B3EE5D382831wDwBL" TargetMode="External"/><Relationship Id="rId22" Type="http://schemas.openxmlformats.org/officeDocument/2006/relationships/hyperlink" Target="consultantplus://offline/ref=ABC30677FC3DC8EAFDABBC4904106C594BEC2A593A7AC0F35D04BEDF6192B5DFE0DBF1CCE1073E48E6D651E28E5566E19E9E72327150B3EE5D382831wDwBL" TargetMode="External"/><Relationship Id="rId27" Type="http://schemas.openxmlformats.org/officeDocument/2006/relationships/hyperlink" Target="consultantplus://offline/ref=ABC30677FC3DC8EAFDABBC4904106C594BEC2A593A7AC0F35D04BEDF6192B5DFE0DBF1CCE1073E48E6D651E38D5566E19E9E72327150B3EE5D382831wDwBL" TargetMode="External"/><Relationship Id="rId30" Type="http://schemas.openxmlformats.org/officeDocument/2006/relationships/hyperlink" Target="consultantplus://offline/ref=ABC30677FC3DC8EAFDABBC4904106C594BEC2A593A7AC0F35D04BEDF6192B5DFE0DBF1CCE1073E48E6D651E38A5566E19E9E72327150B3EE5D382831wDwBL" TargetMode="External"/><Relationship Id="rId35" Type="http://schemas.openxmlformats.org/officeDocument/2006/relationships/hyperlink" Target="consultantplus://offline/ref=ABC30677FC3DC8EAFDABA244127C32534CE37D523F71C3A10654B8883EC2B38AB29BAF95A2452D49E1C853E08Ew5wDL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BC30677FC3DC8EAFDABBC4904106C594BEC2A593A7AC0F35D04BEDF6192B5DFE0DBF1CCE1073E48E6D651E0855566E19E9E72327150B3EE5D382831wDwBL" TargetMode="External"/><Relationship Id="rId17" Type="http://schemas.openxmlformats.org/officeDocument/2006/relationships/hyperlink" Target="consultantplus://offline/ref=ABC30677FC3DC8EAFDABBC4904106C594BEC2A593A7AC0F35D04BEDF6192B5DFE0DBF1CCE1073E48E6D651E1895566E19E9E72327150B3EE5D382831wDwBL" TargetMode="External"/><Relationship Id="rId25" Type="http://schemas.openxmlformats.org/officeDocument/2006/relationships/hyperlink" Target="consultantplus://offline/ref=ABC30677FC3DC8EAFDABBC4904106C594BEC2A593A7AC0F35D04BEDF6192B5DFE0DBF1CCE1073E48E6D651E2855566E19E9E72327150B3EE5D382831wDwBL" TargetMode="External"/><Relationship Id="rId33" Type="http://schemas.openxmlformats.org/officeDocument/2006/relationships/hyperlink" Target="consultantplus://offline/ref=ABC30677FC3DC8EAFDABA244127C32534CE37D523E77C3A10654B8883EC2B38AB29BAF95A2452D49E1C853E08Ew5wDL" TargetMode="External"/><Relationship Id="rId38" Type="http://schemas.openxmlformats.org/officeDocument/2006/relationships/hyperlink" Target="consultantplus://offline/ref=ABC30677FC3DC8EAFDABBC4904106C594BEC2A593A7AC0F35D04BEDF6192B5DFE0DBF1CCE1073E48E6D651E48E5566E19E9E72327150B3EE5D382831wDwBL" TargetMode="External"/><Relationship Id="rId20" Type="http://schemas.openxmlformats.org/officeDocument/2006/relationships/hyperlink" Target="consultantplus://offline/ref=ABC30677FC3DC8EAFDABBC4904106C594BEC2A593A7AC0F35D04BEDF6192B5DFE0DBF1CCE1073E48E6D651E1855566E19E9E72327150B3EE5D382831wDwBL" TargetMode="External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7061</Words>
  <Characters>40252</Characters>
  <Application>Microsoft Office Word</Application>
  <DocSecurity>0</DocSecurity>
  <Lines>335</Lines>
  <Paragraphs>94</Paragraphs>
  <ScaleCrop>false</ScaleCrop>
  <Company>КонсультантПлюс Версия 4022.00.55</Company>
  <LinksUpToDate>false</LinksUpToDate>
  <CharactersWithSpaces>47219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25.10.2022 N 380
(ред. от 27.06.2023)
"О реализации цифрового сервиса "Единая цифровая карта жителя Рязанской области"
(вместе с "Положением об универсальном платежно-сервисном инструменте для населения Рязанской области...", "Условиями участия кредитной организации в качестве банка-эмитента ЕЦК", "Положением об операторе цифрового сервиса ЕЦК")</dc:title>
  <dc:creator>Admin</dc:creator>
  <cp:lastModifiedBy>Admin</cp:lastModifiedBy>
  <cp:revision>2</cp:revision>
  <dcterms:created xsi:type="dcterms:W3CDTF">2023-07-21T13:26:00Z</dcterms:created>
  <dcterms:modified xsi:type="dcterms:W3CDTF">2023-07-21T13:26:00Z</dcterms:modified>
</cp:coreProperties>
</file>