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РЯЗАНСКАЯ ГОРОДСКАЯ ДУМА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25 декабря 2023 г. N 108-IV</w:t>
      </w:r>
    </w:p>
    <w:p>
      <w:pPr>
        <w:pStyle w:val="2"/>
      </w:pPr>
      <w:r>
        <w:rPr>
          <w:sz w:val="20"/>
        </w:rPr>
      </w:r>
    </w:p>
    <w:p>
      <w:pPr>
        <w:pStyle w:val="2"/>
        <w:jc w:val="center"/>
      </w:pPr>
      <w:r>
        <w:rPr>
          <w:sz w:val="20"/>
        </w:rPr>
        <w:t xml:space="preserve">О ВНЕСЕНИИ ИЗМЕНЕНИЙ В РЕШЕНИЕ РЯЗАНСКОЙ ГОРОДСКОЙ ДУМЫ</w:t>
      </w:r>
    </w:p>
    <w:p>
      <w:pPr>
        <w:pStyle w:val="2"/>
        <w:jc w:val="center"/>
      </w:pPr>
      <w:r>
        <w:rPr>
          <w:sz w:val="20"/>
        </w:rPr>
        <w:t xml:space="preserve">ОТ 23.11.2017 N 418-II "ОБ УСТАНОВЛЕНИИ ДОПОЛНИТЕЛЬНЫХ МЕР</w:t>
      </w:r>
    </w:p>
    <w:p>
      <w:pPr>
        <w:pStyle w:val="2"/>
        <w:jc w:val="center"/>
      </w:pPr>
      <w:r>
        <w:rPr>
          <w:sz w:val="20"/>
        </w:rPr>
        <w:t xml:space="preserve">СОЦИАЛЬНОЙ ПОДДЕРЖКИ И СОЦИАЛЬНОЙ ПОМОЩИ ОТДЕЛЬНЫМ</w:t>
      </w:r>
    </w:p>
    <w:p>
      <w:pPr>
        <w:pStyle w:val="2"/>
        <w:jc w:val="center"/>
      </w:pPr>
      <w:r>
        <w:rPr>
          <w:sz w:val="20"/>
        </w:rPr>
        <w:t xml:space="preserve">КАТЕГОРИЯМ ГРАЖДАН ПО ПОЛНОМУ ИЛИ ЧАСТИЧНОМУ ОСВОБОЖДЕНИЮ</w:t>
      </w:r>
    </w:p>
    <w:p>
      <w:pPr>
        <w:pStyle w:val="2"/>
        <w:jc w:val="center"/>
      </w:pPr>
      <w:r>
        <w:rPr>
          <w:sz w:val="20"/>
        </w:rPr>
        <w:t xml:space="preserve">ОТ ПЛАТЫ ЗА УСЛУГИ ПО ПЕРЕВОЗКЕ ПАССАЖИРОВ АВТОМОБИЛЬНЫМ</w:t>
      </w:r>
    </w:p>
    <w:p>
      <w:pPr>
        <w:pStyle w:val="2"/>
        <w:jc w:val="center"/>
      </w:pPr>
      <w:r>
        <w:rPr>
          <w:sz w:val="20"/>
        </w:rPr>
        <w:t xml:space="preserve">И НАЗЕМНЫМ ЭЛЕКТРИЧЕСКИМ ТРАНСПОРТОМ ОБЩЕГО ПОЛЬЗОВАНИЯ</w:t>
      </w:r>
    </w:p>
    <w:p>
      <w:pPr>
        <w:pStyle w:val="2"/>
        <w:jc w:val="center"/>
      </w:pPr>
      <w:r>
        <w:rPr>
          <w:sz w:val="20"/>
        </w:rPr>
        <w:t xml:space="preserve">ГОРОДА РЯЗАНИ"</w:t>
      </w:r>
    </w:p>
    <w:p>
      <w:pPr>
        <w:pStyle w:val="0"/>
        <w:jc w:val="both"/>
      </w:pPr>
      <w:r>
        <w:rPr>
          <w:sz w:val="20"/>
        </w:rPr>
      </w:r>
    </w:p>
    <w:p>
      <w:pPr>
        <w:pStyle w:val="0"/>
        <w:ind w:firstLine="540"/>
        <w:jc w:val="both"/>
      </w:pPr>
      <w:r>
        <w:rPr>
          <w:sz w:val="20"/>
        </w:rPr>
        <w:t xml:space="preserve">Рассмотрев обращение главы администрации города Рязани от 15.12.2023 N 02/1/1/1-04/2983-Ин, руководствуясь Федеральным </w:t>
      </w:r>
      <w:hyperlink w:history="0" r:id="rId6" w:tooltip="Федеральный закон от 06.10.2003 N 131-ФЗ (ред. от 02.11.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7"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КонсультантПлюс}">
        <w:r>
          <w:rPr>
            <w:sz w:val="20"/>
            <w:color w:val="0000ff"/>
          </w:rPr>
          <w:t xml:space="preserve">Уставом</w:t>
        </w:r>
      </w:hyperlink>
      <w:r>
        <w:rPr>
          <w:sz w:val="20"/>
        </w:rPr>
        <w:t xml:space="preserve"> муниципального образования - городской округ город Рязань, Рязанская городская Дума решила:</w:t>
      </w:r>
    </w:p>
    <w:p>
      <w:pPr>
        <w:pStyle w:val="0"/>
        <w:spacing w:before="200" w:line-rule="auto"/>
        <w:ind w:firstLine="540"/>
        <w:jc w:val="both"/>
      </w:pPr>
      <w:r>
        <w:rPr>
          <w:sz w:val="20"/>
        </w:rPr>
        <w:t xml:space="preserve">1. Внести в </w:t>
      </w:r>
      <w:hyperlink w:history="0" r:id="rId8" w:tooltip="Решение Рязанской городской Думы от 23.11.2017 N 418-II (ред. от 22.12.2022) &quot;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quot; {КонсультантПлюс}">
        <w:r>
          <w:rPr>
            <w:sz w:val="20"/>
            <w:color w:val="0000ff"/>
          </w:rPr>
          <w:t xml:space="preserve">решение</w:t>
        </w:r>
      </w:hyperlink>
      <w:r>
        <w:rPr>
          <w:sz w:val="20"/>
        </w:rPr>
        <w:t xml:space="preserve"> Рязанской городской Думы от 23.11.2017 N 418-II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следующие изменения:</w:t>
      </w:r>
    </w:p>
    <w:p>
      <w:pPr>
        <w:pStyle w:val="0"/>
        <w:spacing w:before="200" w:line-rule="auto"/>
        <w:ind w:firstLine="540"/>
        <w:jc w:val="both"/>
      </w:pPr>
      <w:r>
        <w:rPr>
          <w:sz w:val="20"/>
        </w:rPr>
        <w:t xml:space="preserve">1) </w:t>
      </w:r>
      <w:hyperlink w:history="0" r:id="rId9" w:tooltip="Решение Рязанской городской Думы от 23.11.2017 N 418-II (ред. от 22.12.2022) &quot;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quot; {КонсультантПлюс}">
        <w:r>
          <w:rPr>
            <w:sz w:val="20"/>
            <w:color w:val="0000ff"/>
          </w:rPr>
          <w:t xml:space="preserve">подпункт 1.1 пункта 1</w:t>
        </w:r>
      </w:hyperlink>
      <w:r>
        <w:rPr>
          <w:sz w:val="20"/>
        </w:rPr>
        <w:t xml:space="preserve"> изложить в следующей редакции:</w:t>
      </w:r>
    </w:p>
    <w:p>
      <w:pPr>
        <w:pStyle w:val="0"/>
        <w:spacing w:before="200" w:line-rule="auto"/>
        <w:ind w:firstLine="540"/>
        <w:jc w:val="both"/>
      </w:pPr>
      <w:r>
        <w:rPr>
          <w:sz w:val="20"/>
        </w:rPr>
        <w:t xml:space="preserve">"1.1. В виде оплаты проезда на муниципальных маршрутах регулярных перевозок пассажиров с помощью льготных месячных проездных билетов в форме электронного проездного билета (транспортной карты или единой цифровой карты жителя Рязанской области (далее - ЕЦК) следующей стоимости: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6576"/>
        <w:gridCol w:w="1871"/>
      </w:tblGrid>
      <w:tr>
        <w:tc>
          <w:tcPr>
            <w:tcW w:w="604" w:type="dxa"/>
          </w:tcPr>
          <w:p>
            <w:pPr>
              <w:pStyle w:val="0"/>
              <w:jc w:val="center"/>
            </w:pPr>
            <w:r>
              <w:rPr>
                <w:sz w:val="20"/>
              </w:rPr>
              <w:t xml:space="preserve">NN пп</w:t>
            </w:r>
          </w:p>
        </w:tc>
        <w:tc>
          <w:tcPr>
            <w:tcW w:w="6576" w:type="dxa"/>
          </w:tcPr>
          <w:p>
            <w:pPr>
              <w:pStyle w:val="0"/>
              <w:jc w:val="center"/>
            </w:pPr>
            <w:r>
              <w:rPr>
                <w:sz w:val="20"/>
              </w:rPr>
              <w:t xml:space="preserve">Категория льготника</w:t>
            </w:r>
          </w:p>
        </w:tc>
        <w:tc>
          <w:tcPr>
            <w:tcW w:w="1871" w:type="dxa"/>
          </w:tcPr>
          <w:p>
            <w:pPr>
              <w:pStyle w:val="0"/>
              <w:jc w:val="center"/>
            </w:pPr>
            <w:r>
              <w:rPr>
                <w:sz w:val="20"/>
              </w:rPr>
              <w:t xml:space="preserve">На 2 вида транспорта (автобус и троллейбус) рублей</w:t>
            </w:r>
          </w:p>
        </w:tc>
      </w:tr>
      <w:tr>
        <w:tc>
          <w:tcPr>
            <w:tcW w:w="604" w:type="dxa"/>
          </w:tcPr>
          <w:p>
            <w:pPr>
              <w:pStyle w:val="0"/>
              <w:jc w:val="center"/>
            </w:pPr>
            <w:r>
              <w:rPr>
                <w:sz w:val="20"/>
              </w:rPr>
              <w:t xml:space="preserve">1</w:t>
            </w:r>
          </w:p>
        </w:tc>
        <w:tc>
          <w:tcPr>
            <w:tcW w:w="6576" w:type="dxa"/>
          </w:tcPr>
          <w:p>
            <w:pPr>
              <w:pStyle w:val="0"/>
              <w:jc w:val="center"/>
            </w:pPr>
            <w:r>
              <w:rPr>
                <w:sz w:val="20"/>
              </w:rPr>
              <w:t xml:space="preserve">2</w:t>
            </w:r>
          </w:p>
        </w:tc>
        <w:tc>
          <w:tcPr>
            <w:tcW w:w="1871" w:type="dxa"/>
          </w:tcPr>
          <w:p>
            <w:pPr>
              <w:pStyle w:val="0"/>
              <w:jc w:val="center"/>
            </w:pPr>
            <w:r>
              <w:rPr>
                <w:sz w:val="20"/>
              </w:rPr>
              <w:t xml:space="preserve">3</w:t>
            </w:r>
          </w:p>
        </w:tc>
      </w:tr>
      <w:tr>
        <w:tc>
          <w:tcPr>
            <w:tcW w:w="604" w:type="dxa"/>
          </w:tcPr>
          <w:p>
            <w:pPr>
              <w:pStyle w:val="0"/>
            </w:pPr>
            <w:r>
              <w:rPr>
                <w:sz w:val="20"/>
              </w:rPr>
            </w:r>
          </w:p>
        </w:tc>
        <w:tc>
          <w:tcPr>
            <w:gridSpan w:val="2"/>
            <w:tcW w:w="8447" w:type="dxa"/>
          </w:tcPr>
          <w:p>
            <w:pPr>
              <w:pStyle w:val="0"/>
              <w:jc w:val="center"/>
            </w:pPr>
            <w:r>
              <w:rPr>
                <w:sz w:val="20"/>
              </w:rPr>
              <w:t xml:space="preserve">Транспортная карта "Студенческая" или ЕЦК</w:t>
            </w:r>
          </w:p>
        </w:tc>
      </w:tr>
      <w:tr>
        <w:tc>
          <w:tcPr>
            <w:tcW w:w="604" w:type="dxa"/>
          </w:tcPr>
          <w:p>
            <w:pPr>
              <w:pStyle w:val="0"/>
              <w:jc w:val="center"/>
            </w:pPr>
            <w:r>
              <w:rPr>
                <w:sz w:val="20"/>
              </w:rPr>
              <w:t xml:space="preserve">1.1.1</w:t>
            </w:r>
          </w:p>
        </w:tc>
        <w:tc>
          <w:tcPr>
            <w:tcW w:w="6576" w:type="dxa"/>
          </w:tcPr>
          <w:p>
            <w:pPr>
              <w:pStyle w:val="0"/>
            </w:pPr>
            <w:r>
              <w:rPr>
                <w:sz w:val="20"/>
              </w:rPr>
              <w:t xml:space="preserve">для студентов образовательных организаций города Рязани очной системы обучения</w:t>
            </w:r>
          </w:p>
        </w:tc>
        <w:tc>
          <w:tcPr>
            <w:tcW w:w="1871" w:type="dxa"/>
          </w:tcPr>
          <w:p>
            <w:pPr>
              <w:pStyle w:val="0"/>
              <w:jc w:val="center"/>
            </w:pPr>
            <w:r>
              <w:rPr>
                <w:sz w:val="20"/>
              </w:rPr>
              <w:t xml:space="preserve">780</w:t>
            </w:r>
          </w:p>
        </w:tc>
      </w:tr>
      <w:tr>
        <w:tc>
          <w:tcPr>
            <w:tcW w:w="604" w:type="dxa"/>
          </w:tcPr>
          <w:p>
            <w:pPr>
              <w:pStyle w:val="0"/>
              <w:jc w:val="center"/>
            </w:pPr>
            <w:r>
              <w:rPr>
                <w:sz w:val="20"/>
              </w:rPr>
              <w:t xml:space="preserve">1.1.2</w:t>
            </w:r>
          </w:p>
        </w:tc>
        <w:tc>
          <w:tcPr>
            <w:tcW w:w="6576" w:type="dxa"/>
          </w:tcPr>
          <w:p>
            <w:pPr>
              <w:pStyle w:val="0"/>
            </w:pPr>
            <w:r>
              <w:rPr>
                <w:sz w:val="20"/>
              </w:rPr>
              <w:t xml:space="preserve">для студентов образовательных организаций города Рязани очной формы обучения, относящихся к следующим категориям:</w:t>
            </w:r>
          </w:p>
          <w:p>
            <w:pPr>
              <w:pStyle w:val="0"/>
            </w:pPr>
            <w:r>
              <w:rPr>
                <w:sz w:val="20"/>
              </w:rPr>
              <w:t xml:space="preserve">- студенты, являющиеся членами студенческих семей &lt;1&gt;, имеющих детей;</w:t>
            </w:r>
          </w:p>
          <w:p>
            <w:pPr>
              <w:pStyle w:val="0"/>
            </w:pPr>
            <w:r>
              <w:rPr>
                <w:sz w:val="20"/>
              </w:rPr>
              <w:t xml:space="preserve">- студенты, являющиеся членами многодетных неполных семей &lt;2&gt;;</w:t>
            </w:r>
          </w:p>
          <w:p>
            <w:pPr>
              <w:pStyle w:val="0"/>
            </w:pPr>
            <w:r>
              <w:rPr>
                <w:sz w:val="20"/>
              </w:rPr>
              <w:t xml:space="preserve">- студенты, являющиеся членами малообеспеченных семей &lt;3&gt;</w:t>
            </w:r>
          </w:p>
        </w:tc>
        <w:tc>
          <w:tcPr>
            <w:tcW w:w="1871" w:type="dxa"/>
          </w:tcPr>
          <w:p>
            <w:pPr>
              <w:pStyle w:val="0"/>
              <w:jc w:val="center"/>
            </w:pPr>
            <w:r>
              <w:rPr>
                <w:sz w:val="20"/>
              </w:rPr>
              <w:t xml:space="preserve">350</w:t>
            </w:r>
          </w:p>
        </w:tc>
      </w:tr>
      <w:tr>
        <w:tc>
          <w:tcPr>
            <w:tcW w:w="604" w:type="dxa"/>
          </w:tcPr>
          <w:p>
            <w:pPr>
              <w:pStyle w:val="0"/>
            </w:pPr>
            <w:r>
              <w:rPr>
                <w:sz w:val="20"/>
              </w:rPr>
            </w:r>
          </w:p>
        </w:tc>
        <w:tc>
          <w:tcPr>
            <w:gridSpan w:val="2"/>
            <w:tcW w:w="8447" w:type="dxa"/>
          </w:tcPr>
          <w:p>
            <w:pPr>
              <w:pStyle w:val="0"/>
              <w:jc w:val="center"/>
            </w:pPr>
            <w:r>
              <w:rPr>
                <w:sz w:val="20"/>
              </w:rPr>
              <w:t xml:space="preserve">Транспортная карта "Школьная" или ЕЦК</w:t>
            </w:r>
          </w:p>
        </w:tc>
      </w:tr>
      <w:tr>
        <w:tc>
          <w:tcPr>
            <w:tcW w:w="604" w:type="dxa"/>
          </w:tcPr>
          <w:p>
            <w:pPr>
              <w:pStyle w:val="0"/>
              <w:jc w:val="center"/>
            </w:pPr>
            <w:r>
              <w:rPr>
                <w:sz w:val="20"/>
              </w:rPr>
              <w:t xml:space="preserve">1.1.3</w:t>
            </w:r>
          </w:p>
        </w:tc>
        <w:tc>
          <w:tcPr>
            <w:tcW w:w="6576" w:type="dxa"/>
          </w:tcPr>
          <w:p>
            <w:pPr>
              <w:pStyle w:val="0"/>
            </w:pPr>
            <w:r>
              <w:rPr>
                <w:sz w:val="20"/>
              </w:rPr>
              <w:t xml:space="preserve">для учащихся общеобразовательных организаций города Рязани</w:t>
            </w:r>
          </w:p>
        </w:tc>
        <w:tc>
          <w:tcPr>
            <w:tcW w:w="1871" w:type="dxa"/>
          </w:tcPr>
          <w:p>
            <w:pPr>
              <w:pStyle w:val="0"/>
              <w:jc w:val="center"/>
            </w:pPr>
            <w:r>
              <w:rPr>
                <w:sz w:val="20"/>
              </w:rPr>
              <w:t xml:space="preserve">441</w:t>
            </w:r>
          </w:p>
        </w:tc>
      </w:tr>
      <w:tr>
        <w:tc>
          <w:tcPr>
            <w:tcW w:w="604" w:type="dxa"/>
          </w:tcPr>
          <w:p>
            <w:pPr>
              <w:pStyle w:val="0"/>
              <w:jc w:val="center"/>
            </w:pPr>
            <w:r>
              <w:rPr>
                <w:sz w:val="20"/>
              </w:rPr>
              <w:t xml:space="preserve">1.1.4</w:t>
            </w:r>
          </w:p>
        </w:tc>
        <w:tc>
          <w:tcPr>
            <w:tcW w:w="6576" w:type="dxa"/>
          </w:tcPr>
          <w:p>
            <w:pPr>
              <w:pStyle w:val="0"/>
            </w:pPr>
            <w:r>
              <w:rPr>
                <w:sz w:val="20"/>
              </w:rPr>
              <w:t xml:space="preserve">для учащихся общеобразовательных организаций города Рязани, являющихся членами малообеспеченных семей</w:t>
            </w:r>
          </w:p>
        </w:tc>
        <w:tc>
          <w:tcPr>
            <w:tcW w:w="1871" w:type="dxa"/>
          </w:tcPr>
          <w:p>
            <w:pPr>
              <w:pStyle w:val="0"/>
              <w:jc w:val="center"/>
            </w:pPr>
            <w:r>
              <w:rPr>
                <w:sz w:val="20"/>
              </w:rPr>
              <w:t xml:space="preserve">184</w:t>
            </w:r>
          </w:p>
        </w:tc>
      </w:tr>
      <w:tr>
        <w:tc>
          <w:tcPr>
            <w:tcW w:w="604" w:type="dxa"/>
          </w:tcPr>
          <w:p>
            <w:pPr>
              <w:pStyle w:val="0"/>
            </w:pPr>
            <w:r>
              <w:rPr>
                <w:sz w:val="20"/>
              </w:rPr>
            </w:r>
          </w:p>
        </w:tc>
        <w:tc>
          <w:tcPr>
            <w:gridSpan w:val="2"/>
            <w:tcW w:w="8447" w:type="dxa"/>
          </w:tcPr>
          <w:p>
            <w:pPr>
              <w:pStyle w:val="0"/>
              <w:jc w:val="center"/>
            </w:pPr>
            <w:r>
              <w:rPr>
                <w:sz w:val="20"/>
              </w:rPr>
              <w:t xml:space="preserve">Транспортная карта "Льготная" или ЕЦК</w:t>
            </w:r>
          </w:p>
        </w:tc>
      </w:tr>
      <w:tr>
        <w:tc>
          <w:tcPr>
            <w:tcW w:w="604" w:type="dxa"/>
          </w:tcPr>
          <w:p>
            <w:pPr>
              <w:pStyle w:val="0"/>
              <w:jc w:val="center"/>
            </w:pPr>
            <w:r>
              <w:rPr>
                <w:sz w:val="20"/>
              </w:rPr>
              <w:t xml:space="preserve">1.1.5</w:t>
            </w:r>
          </w:p>
        </w:tc>
        <w:tc>
          <w:tcPr>
            <w:tcW w:w="6576" w:type="dxa"/>
          </w:tcPr>
          <w:p>
            <w:pPr>
              <w:pStyle w:val="0"/>
            </w:pPr>
            <w:r>
              <w:rPr>
                <w:sz w:val="20"/>
              </w:rPr>
              <w:t xml:space="preserve">для граждан, получающих пенсию из Фонда пенсионного и социального страхования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871" w:type="dxa"/>
          </w:tcPr>
          <w:p>
            <w:pPr>
              <w:pStyle w:val="0"/>
              <w:jc w:val="center"/>
            </w:pPr>
            <w:r>
              <w:rPr>
                <w:sz w:val="20"/>
              </w:rPr>
              <w:t xml:space="preserve">446</w:t>
            </w:r>
          </w:p>
        </w:tc>
      </w:tr>
      <w:tr>
        <w:tc>
          <w:tcPr>
            <w:tcW w:w="604" w:type="dxa"/>
          </w:tcPr>
          <w:p>
            <w:pPr>
              <w:pStyle w:val="0"/>
              <w:jc w:val="center"/>
            </w:pPr>
            <w:r>
              <w:rPr>
                <w:sz w:val="20"/>
              </w:rPr>
              <w:t xml:space="preserve">1.1.6</w:t>
            </w:r>
          </w:p>
        </w:tc>
        <w:tc>
          <w:tcPr>
            <w:tcW w:w="6576" w:type="dxa"/>
          </w:tcPr>
          <w:p>
            <w:pPr>
              <w:pStyle w:val="0"/>
            </w:pPr>
            <w:r>
              <w:rPr>
                <w:sz w:val="20"/>
              </w:rPr>
              <w:t xml:space="preserve">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871" w:type="dxa"/>
          </w:tcPr>
          <w:p>
            <w:pPr>
              <w:pStyle w:val="0"/>
              <w:jc w:val="center"/>
            </w:pPr>
            <w:r>
              <w:rPr>
                <w:sz w:val="20"/>
              </w:rPr>
              <w:t xml:space="preserve">446</w:t>
            </w:r>
          </w:p>
        </w:tc>
      </w:tr>
      <w:tr>
        <w:tc>
          <w:tcPr>
            <w:tcW w:w="604" w:type="dxa"/>
          </w:tcPr>
          <w:p>
            <w:pPr>
              <w:pStyle w:val="0"/>
              <w:jc w:val="center"/>
            </w:pPr>
            <w:r>
              <w:rPr>
                <w:sz w:val="20"/>
              </w:rPr>
              <w:t xml:space="preserve">1.1.7</w:t>
            </w:r>
          </w:p>
        </w:tc>
        <w:tc>
          <w:tcPr>
            <w:tcW w:w="6576" w:type="dxa"/>
          </w:tcPr>
          <w:p>
            <w:pPr>
              <w:pStyle w:val="0"/>
            </w:pPr>
            <w:r>
              <w:rPr>
                <w:sz w:val="20"/>
              </w:rPr>
              <w:t xml:space="preserve">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871" w:type="dxa"/>
          </w:tcPr>
          <w:p>
            <w:pPr>
              <w:pStyle w:val="0"/>
              <w:jc w:val="center"/>
            </w:pPr>
            <w:r>
              <w:rPr>
                <w:sz w:val="20"/>
              </w:rPr>
              <w:t xml:space="preserve">446</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&lt;1&gt; - студенческая семья - семья, в которой оба супруга являются студентами образовательных организаций города Рязани очной формы обучения;</w:t>
      </w:r>
    </w:p>
    <w:p>
      <w:pPr>
        <w:pStyle w:val="0"/>
        <w:spacing w:before="200" w:line-rule="auto"/>
        <w:ind w:firstLine="540"/>
        <w:jc w:val="both"/>
      </w:pPr>
      <w:r>
        <w:rPr>
          <w:sz w:val="20"/>
        </w:rPr>
        <w:t xml:space="preserve">&lt;2&gt; - многодетная неполная семья - семья, имеющая в своем составе трех и более детей в 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пребывания в городе Рязани;</w:t>
      </w:r>
    </w:p>
    <w:p>
      <w:pPr>
        <w:pStyle w:val="0"/>
        <w:spacing w:before="200" w:line-rule="auto"/>
        <w:ind w:firstLine="540"/>
        <w:jc w:val="both"/>
      </w:pPr>
      <w:r>
        <w:rPr>
          <w:sz w:val="20"/>
        </w:rPr>
        <w:t xml:space="preserve">&lt;3&gt;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pPr>
        <w:pStyle w:val="0"/>
        <w:spacing w:before="200" w:line-rule="auto"/>
        <w:ind w:firstLine="540"/>
        <w:jc w:val="both"/>
      </w:pPr>
      <w:r>
        <w:rPr>
          <w:sz w:val="20"/>
        </w:rPr>
        <w:t xml:space="preserve">2) </w:t>
      </w:r>
      <w:hyperlink w:history="0" r:id="rId10" w:tooltip="Решение Рязанской городской Думы от 23.11.2017 N 418-II (ред. от 22.12.2022) &quot;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quot; {КонсультантПлюс}">
        <w:r>
          <w:rPr>
            <w:sz w:val="20"/>
            <w:color w:val="0000ff"/>
          </w:rPr>
          <w:t xml:space="preserve">подпункт 1.2 пункта 1</w:t>
        </w:r>
      </w:hyperlink>
      <w:r>
        <w:rPr>
          <w:sz w:val="20"/>
        </w:rPr>
        <w:t xml:space="preserve"> после слов "транспортной карты" дополнить словами "или ЕЦК".</w:t>
      </w:r>
    </w:p>
    <w:p>
      <w:pPr>
        <w:pStyle w:val="0"/>
        <w:spacing w:before="200" w:line-rule="auto"/>
        <w:ind w:firstLine="540"/>
        <w:jc w:val="both"/>
      </w:pPr>
      <w:r>
        <w:rPr>
          <w:sz w:val="20"/>
        </w:rPr>
        <w:t xml:space="preserve">2. Настоящее решение вступает в силу с 1 января 2024 года и подлежит официальному опубликованию.</w:t>
      </w:r>
    </w:p>
    <w:p>
      <w:pPr>
        <w:pStyle w:val="0"/>
        <w:spacing w:before="200" w:line-rule="auto"/>
        <w:ind w:firstLine="540"/>
        <w:jc w:val="both"/>
      </w:pPr>
      <w:r>
        <w:rPr>
          <w:sz w:val="20"/>
        </w:rPr>
        <w:t xml:space="preserve">3. Опубликовать настоящее решение в газете "Рязанские ведомости" и разместить на официальном сайте Рязанской городской Думы в сети Интернет.</w:t>
      </w:r>
    </w:p>
    <w:p>
      <w:pPr>
        <w:pStyle w:val="0"/>
        <w:spacing w:before="200" w:line-rule="auto"/>
        <w:ind w:firstLine="540"/>
        <w:jc w:val="both"/>
      </w:pPr>
      <w:r>
        <w:rPr>
          <w:sz w:val="20"/>
        </w:rPr>
        <w:t xml:space="preserve">4. Контроль за исполнением настоящего решения возложить на комитет Рязанской городской Думы, к основным направлениям деятельности которого относятся вопросы бюджета и налогов.</w:t>
      </w:r>
    </w:p>
    <w:p>
      <w:pPr>
        <w:pStyle w:val="0"/>
        <w:jc w:val="both"/>
      </w:pPr>
      <w:r>
        <w:rPr>
          <w:sz w:val="20"/>
        </w:rPr>
      </w:r>
    </w:p>
    <w:p>
      <w:pPr>
        <w:pStyle w:val="0"/>
        <w:jc w:val="right"/>
      </w:pPr>
      <w:r>
        <w:rPr>
          <w:sz w:val="20"/>
        </w:rPr>
        <w:t xml:space="preserve">Глава муниципального образования,</w:t>
      </w:r>
    </w:p>
    <w:p>
      <w:pPr>
        <w:pStyle w:val="0"/>
        <w:jc w:val="right"/>
      </w:pPr>
      <w:r>
        <w:rPr>
          <w:sz w:val="20"/>
        </w:rPr>
        <w:t xml:space="preserve">председатель Рязанской городской Думы</w:t>
      </w:r>
    </w:p>
    <w:p>
      <w:pPr>
        <w:pStyle w:val="0"/>
        <w:jc w:val="right"/>
      </w:pPr>
      <w:r>
        <w:rPr>
          <w:sz w:val="20"/>
        </w:rPr>
        <w:t xml:space="preserve">Т.Н.ПАНФИЛОВА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Рязанской городской Думы от 25.12.2023 N 108-IV</w:t>
            <w:br/>
            <w:t>"О внесении изменений в решение Рязанской городской Думы от 23.1...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Решение Рязанской городской Думы от 25.12.2023 N 108-IV "О внесении изменений в решение Рязанской городской Думы от 23.1...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06BEEB7D5CC4432CAA8D3CC862F5E46B8E6052B1806608A1FFBA89A082DD9038E314CCC032F06EA87EF157D5D3Q2g6G" TargetMode = "External"/>
	<Relationship Id="rId7" Type="http://schemas.openxmlformats.org/officeDocument/2006/relationships/hyperlink" Target="consultantplus://offline/ref=06BEEB7D5CC4432CAA8D22C57499BA61896D0DBD85610BF7A5EC8FF7DD8D966DB154929961BD25A47EE64BD4D33BEA13B1QEg2G" TargetMode = "External"/>
	<Relationship Id="rId8" Type="http://schemas.openxmlformats.org/officeDocument/2006/relationships/hyperlink" Target="consultantplus://offline/ref=06BEEB7D5CC4432CAA8D22C57499BA61896D0DBD826901F7A7E68FF7DD8D966DB154929961BD25A47EE64BD4D33BEA13B1QEg2G" TargetMode = "External"/>
	<Relationship Id="rId9" Type="http://schemas.openxmlformats.org/officeDocument/2006/relationships/hyperlink" Target="consultantplus://offline/ref=06BEEB7D5CC4432CAA8D22C57499BA61896D0DBD826901F7A7E68FF7DD8D966DB154929973BD7DA87CEF57D6D12EBC42F7B4097247EB565250CC510DQ5gEG" TargetMode = "External"/>
	<Relationship Id="rId10" Type="http://schemas.openxmlformats.org/officeDocument/2006/relationships/hyperlink" Target="consultantplus://offline/ref=06BEEB7D5CC4432CAA8D22C57499BA61896D0DBD826901F7A7E68FF7DD8D966DB154929973BD7DA87CEF55D0D72EBC42F7B4097247EB565250CC510DQ5g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Рязанской городской Думы от 25.12.2023 N 108-IV
"О внесении изменений в решение Рязанской городской Думы от 23.11.2017 N 418-II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dc:title>
  <dcterms:created xsi:type="dcterms:W3CDTF">2023-12-29T06:32:16Z</dcterms:created>
</cp:coreProperties>
</file>