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27.12.2023 N 16600</w:t>
              <w:br/>
              <w:t xml:space="preserve">(ред. от 27.02.2024, с изм. от 29.02.2024)</w:t>
              <w:br/>
              <w:t xml:space="preserve">"Об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2023 г. N 16600</w:t>
      </w:r>
    </w:p>
    <w:p>
      <w:pPr>
        <w:pStyle w:val="2"/>
        <w:jc w:val="both"/>
      </w:pPr>
      <w:r>
        <w:rPr>
          <w:sz w:val="20"/>
        </w:rPr>
      </w:r>
    </w:p>
    <w:p>
      <w:pPr>
        <w:pStyle w:val="2"/>
        <w:jc w:val="center"/>
      </w:pPr>
      <w:r>
        <w:rPr>
          <w:sz w:val="20"/>
        </w:rPr>
        <w:t xml:space="preserve">ОБ УТВЕРЖДЕНИИ ПОРЯДКА ПРЕДОСТАВЛЕНИЯ В 2024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СУБСИДИЙ</w:t>
      </w:r>
    </w:p>
    <w:p>
      <w:pPr>
        <w:pStyle w:val="2"/>
        <w:jc w:val="center"/>
      </w:pPr>
      <w:r>
        <w:rPr>
          <w:sz w:val="20"/>
        </w:rPr>
        <w:t xml:space="preserve">НА ВОЗМЕЩЕНИЕ НЕДОПОЛУЧЕННЫХ ДОХОДОВ, СВЯЗАННЫХ</w:t>
      </w:r>
    </w:p>
    <w:p>
      <w:pPr>
        <w:pStyle w:val="2"/>
        <w:jc w:val="center"/>
      </w:pPr>
      <w:r>
        <w:rPr>
          <w:sz w:val="20"/>
        </w:rPr>
        <w:t xml:space="preserve">С УСТАНОВЛЕНИЕМ ОРГАНАМИ МЕСТНОГО САМОУПРАВЛЕНИЯ ГОРОДА</w:t>
      </w:r>
    </w:p>
    <w:p>
      <w:pPr>
        <w:pStyle w:val="2"/>
        <w:jc w:val="center"/>
      </w:pPr>
      <w:r>
        <w:rPr>
          <w:sz w:val="20"/>
        </w:rPr>
        <w:t xml:space="preserve">РЯЗАНИ ДОПОЛНИТЕЛЬНЫХ МЕР СОЦИАЛЬНОЙ ПОДДЕРЖКИ И СОЦИАЛЬНОЙ</w:t>
      </w:r>
    </w:p>
    <w:p>
      <w:pPr>
        <w:pStyle w:val="2"/>
        <w:jc w:val="center"/>
      </w:pPr>
      <w:r>
        <w:rPr>
          <w:sz w:val="20"/>
        </w:rPr>
        <w:t xml:space="preserve">ПОМОЩИ ОТДЕЛЬНЫМ КАТЕГОРИЯМ ГРАЖДАН ПО ПОЛНОМУ ИЛИ</w:t>
      </w:r>
    </w:p>
    <w:p>
      <w:pPr>
        <w:pStyle w:val="2"/>
        <w:jc w:val="center"/>
      </w:pPr>
      <w:r>
        <w:rPr>
          <w:sz w:val="20"/>
        </w:rPr>
        <w:t xml:space="preserve">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 от 27.02.2024 N 2412,</w:t>
            </w:r>
          </w:p>
          <w:p>
            <w:pPr>
              <w:pStyle w:val="0"/>
              <w:jc w:val="center"/>
            </w:pPr>
            <w:r>
              <w:rPr>
                <w:sz w:val="20"/>
                <w:color w:val="392c69"/>
              </w:rPr>
              <w:t xml:space="preserve">с изм., внесенными </w:t>
            </w:r>
            <w:hyperlink w:history="0" r:id="rId8"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22.06.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0" w:tooltip="Решение Рязанской городской Думы от 14.12.2023 N 79-IV (ред. от 11.06.2024) &quot;Об утверждении бюджета города Рязани на 2024 год и на плановый период 2025 и 2026 годов&quot; (вместе с &quot;Программой муниципальных внутренних заимствований...&quot;) {КонсультантПлюс}">
        <w:r>
          <w:rPr>
            <w:sz w:val="20"/>
            <w:color w:val="0000ff"/>
          </w:rPr>
          <w:t xml:space="preserve">решением</w:t>
        </w:r>
      </w:hyperlink>
      <w:r>
        <w:rPr>
          <w:sz w:val="20"/>
        </w:rPr>
        <w:t xml:space="preserve"> Рязанской городской Думы от 14.12.2023 N 79-IV "Об утверждении бюджета города Рязани на 2024 год и на плановый период 2025 и 2026 годов", </w:t>
      </w:r>
      <w:hyperlink w:history="0" r:id="rId1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2024 года.</w:t>
      </w:r>
    </w:p>
    <w:p>
      <w:pPr>
        <w:pStyle w:val="0"/>
        <w:spacing w:before="200" w:line-rule="auto"/>
        <w:ind w:firstLine="540"/>
        <w:jc w:val="both"/>
      </w:pPr>
      <w:r>
        <w:rPr>
          <w:sz w:val="20"/>
        </w:rPr>
        <w:t xml:space="preserve">3.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и.о. заместителя главы администрации Ромодина М.Д.</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27 декабря 2023 г. N 16600</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ПРЕДОСТАВЛЕНИЯ В 2024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СУБСИДИЙ НА ВОЗМЕЩЕНИЕ НЕДОПОЛУЧЕННЫХ</w:t>
      </w:r>
    </w:p>
    <w:p>
      <w:pPr>
        <w:pStyle w:val="2"/>
        <w:jc w:val="center"/>
      </w:pPr>
      <w:r>
        <w:rPr>
          <w:sz w:val="20"/>
        </w:rPr>
        <w:t xml:space="preserve">ДОХОДОВ, СВЯЗАННЫХ С УСТАНОВЛЕНИЕМ ОРГАНАМИ МЕСТНОГО</w:t>
      </w:r>
    </w:p>
    <w:p>
      <w:pPr>
        <w:pStyle w:val="2"/>
        <w:jc w:val="center"/>
      </w:pPr>
      <w:r>
        <w:rPr>
          <w:sz w:val="20"/>
        </w:rPr>
        <w:t xml:space="preserve">САМОУПРАВЛЕНИЯ ГОРОДА РЯЗАНИ ДОПОЛНИТЕЛЬНЫХ МЕР СОЦИАЛЬНОЙ</w:t>
      </w:r>
    </w:p>
    <w:p>
      <w:pPr>
        <w:pStyle w:val="2"/>
        <w:jc w:val="center"/>
      </w:pPr>
      <w:r>
        <w:rPr>
          <w:sz w:val="20"/>
        </w:rPr>
        <w:t xml:space="preserve">ПОДДЕРЖКИ И СОЦИАЛЬНОЙ ПОМОЩИ ОТДЕЛЬНЫМ КАТЕГОРИЯМ ГРАЖДАН</w:t>
      </w:r>
    </w:p>
    <w:p>
      <w:pPr>
        <w:pStyle w:val="2"/>
        <w:jc w:val="center"/>
      </w:pPr>
      <w:r>
        <w:rPr>
          <w:sz w:val="20"/>
        </w:rPr>
        <w:t xml:space="preserve">ПО ПОЛНОМУ ИЛИ ЧАСТИЧНОМУ ОСВОБОЖДЕНИЮ ОТ ПЛАТЫ ЗА УСЛУГИ</w:t>
      </w:r>
    </w:p>
    <w:p>
      <w:pPr>
        <w:pStyle w:val="2"/>
        <w:jc w:val="center"/>
      </w:pPr>
      <w:r>
        <w:rPr>
          <w:sz w:val="20"/>
        </w:rPr>
        <w:t xml:space="preserve">ПО ПЕРЕВОЗКЕ ПАССАЖИРОВ АВТОМОБИЛЬНЫМ И НАЗЕМНЫМ</w:t>
      </w:r>
    </w:p>
    <w:p>
      <w:pPr>
        <w:pStyle w:val="2"/>
        <w:jc w:val="center"/>
      </w:pPr>
      <w:r>
        <w:rPr>
          <w:sz w:val="20"/>
        </w:rPr>
        <w:t xml:space="preserve">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27.02.2024 N 2412,</w:t>
            </w:r>
          </w:p>
          <w:p>
            <w:pPr>
              <w:pStyle w:val="0"/>
              <w:jc w:val="center"/>
            </w:pPr>
            <w:r>
              <w:rPr>
                <w:sz w:val="20"/>
                <w:color w:val="392c69"/>
              </w:rPr>
              <w:t xml:space="preserve">с изм., внесенными </w:t>
            </w:r>
            <w:hyperlink w:history="0" r:id="rId15"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 определяет процедуру и условия предоставления субсидий на возмещение из бюджета города Рязани юридическим лицам 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перевозчик - юридическое лицо (индивидуальный предприниматель), осуществляющее(щий) регулярные перевозки;</w:t>
      </w:r>
    </w:p>
    <w:p>
      <w:pPr>
        <w:pStyle w:val="0"/>
        <w:spacing w:before="200" w:line-rule="auto"/>
        <w:ind w:firstLine="540"/>
        <w:jc w:val="both"/>
      </w:pPr>
      <w:r>
        <w:rPr>
          <w:sz w:val="20"/>
        </w:rPr>
        <w:t xml:space="preserve">- претендент - перевозчик, претендующий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перевозчик, в отношении которого принято решение о предоставлении субсидий;</w:t>
      </w:r>
    </w:p>
    <w:p>
      <w:pPr>
        <w:pStyle w:val="0"/>
        <w:spacing w:before="200" w:line-rule="auto"/>
        <w:ind w:firstLine="540"/>
        <w:jc w:val="both"/>
      </w:pPr>
      <w:r>
        <w:rPr>
          <w:sz w:val="20"/>
        </w:rPr>
        <w:t xml:space="preserve">- субсидии - средства бюджета города Рязани на возмещение перевозчикам недополученных доходов, связанных с предоставлением льгот по оплате проезда.</w:t>
      </w:r>
    </w:p>
    <w:bookmarkStart w:id="64" w:name="P64"/>
    <w:bookmarkEnd w:id="64"/>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w:t>
      </w:r>
      <w:hyperlink w:history="0" r:id="rId16" w:tooltip="Постановление Администрации города Рязани от 24.09.2021 N 4103 (ред. от 03.06.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программы</w:t>
        </w:r>
      </w:hyperlink>
      <w:r>
        <w:rPr>
          <w:sz w:val="20"/>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w:t>
      </w:r>
      <w:hyperlink w:history="0" r:id="rId17" w:tooltip="Постановление Администрации города Рязани от 24.09.2021 N 4103 (ред. от 03.06.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мероприятию 3.1.1</w:t>
        </w:r>
      </w:hyperlink>
      <w:r>
        <w:rPr>
          <w:sz w:val="20"/>
        </w:rPr>
        <w:t xml:space="preserve">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1.4. Главным распорядителем средств бюджета города Рязани по предоставлению субсидий за декабрь 2023 года является администрация города Рязани (далее - администрация), которой в установленном порядке доведены лимиты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Главным распорядителем средств бюджета города Рязани по предоставлению субсидий за январь - декабрь 2024 года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w:t>
      </w:r>
    </w:p>
    <w:p>
      <w:pPr>
        <w:pStyle w:val="0"/>
        <w:jc w:val="both"/>
      </w:pPr>
      <w:r>
        <w:rPr>
          <w:sz w:val="20"/>
        </w:rPr>
        <w:t xml:space="preserve">(п. 1.4 в ред. </w:t>
      </w:r>
      <w:hyperlink w:history="0" r:id="rId18"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p>
      <w:pPr>
        <w:pStyle w:val="0"/>
        <w:spacing w:before="200" w:line-rule="auto"/>
        <w:ind w:firstLine="540"/>
        <w:jc w:val="both"/>
      </w:pPr>
      <w:r>
        <w:rPr>
          <w:sz w:val="20"/>
        </w:rPr>
        <w:t xml:space="preserve">1.5. Способ предоставления субсидий - возмещение недополученных доходов.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3" w:name="P73"/>
    <w:bookmarkEnd w:id="73"/>
    <w:p>
      <w:pPr>
        <w:pStyle w:val="0"/>
        <w:ind w:firstLine="540"/>
        <w:jc w:val="both"/>
      </w:pPr>
      <w:r>
        <w:rPr>
          <w:sz w:val="20"/>
        </w:rPr>
        <w:t xml:space="preserve">2.1. Право на получение субсидий имеют перевозчики:</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00" w:line-rule="auto"/>
        <w:ind w:firstLine="540"/>
        <w:jc w:val="both"/>
      </w:pPr>
      <w:r>
        <w:rPr>
          <w:sz w:val="20"/>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bookmarkStart w:id="78" w:name="P78"/>
    <w:bookmarkEnd w:id="78"/>
    <w:p>
      <w:pPr>
        <w:pStyle w:val="0"/>
        <w:spacing w:before="200" w:line-rule="auto"/>
        <w:ind w:firstLine="540"/>
        <w:jc w:val="both"/>
      </w:pPr>
      <w:r>
        <w:rPr>
          <w:sz w:val="20"/>
        </w:rPr>
        <w:t xml:space="preserve">2.2. Претендент (получатель субсидий) должен соответствовать следующим требованиям:</w:t>
      </w:r>
    </w:p>
    <w:p>
      <w:pPr>
        <w:pStyle w:val="0"/>
        <w:spacing w:before="200" w:line-rule="auto"/>
        <w:ind w:firstLine="540"/>
        <w:jc w:val="both"/>
      </w:pPr>
      <w:r>
        <w:rPr>
          <w:sz w:val="20"/>
        </w:rPr>
        <w:t xml:space="preserve">2.2.1. На первое число месяца, в котором подано(на) заявление о заключении договора о предоставлении субсидий (заявка на предоставление субсидий):</w:t>
      </w:r>
    </w:p>
    <w:p>
      <w:pPr>
        <w:pStyle w:val="0"/>
        <w:spacing w:before="200" w:line-rule="auto"/>
        <w:ind w:firstLine="540"/>
        <w:jc w:val="both"/>
      </w:pPr>
      <w:r>
        <w:rPr>
          <w:sz w:val="20"/>
        </w:rPr>
        <w:t xml:space="preserve">- претендент (получатель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претендент (получатель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претендент (получатель субсидий) не должен находиться в составляемых в рамках реализации полномочий, предусмотренных </w:t>
      </w:r>
      <w:hyperlink w:history="0" r:id="rId1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претендент (получатель субсидий) не должен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претендент (получатель субсидий) не должен являться иностранным агентом в соответствии с Федеральным </w:t>
      </w:r>
      <w:hyperlink w:history="0" r:id="rId2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претендента (получателя субсидий) должна отсутствовать просроченная задолженность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претендент (получатель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претендент (получатель субсидий)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00" w:line-rule="auto"/>
        <w:ind w:firstLine="540"/>
        <w:jc w:val="both"/>
      </w:pPr>
      <w:r>
        <w:rPr>
          <w:sz w:val="20"/>
        </w:rPr>
        <w:t xml:space="preserve">- в штате претендента (получателя субсидий)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должны находиться водители, имеющие водительское удостоверение на право управления автомобилями категории "D" и (или) "Tb". Коэффициент расчетного количества водителей на 1 транспортное средство - 1,5.</w:t>
      </w:r>
    </w:p>
    <w:p>
      <w:pPr>
        <w:pStyle w:val="0"/>
        <w:spacing w:before="200" w:line-rule="auto"/>
        <w:ind w:firstLine="540"/>
        <w:jc w:val="both"/>
      </w:pPr>
      <w:r>
        <w:rPr>
          <w:sz w:val="20"/>
        </w:rPr>
        <w:t xml:space="preserve">2.2.2. На дату не позднее чем за 10 календарных дней до даты подачи заявления о заключении договора о предоставлении субсидий (заявки на предоставление субсидий)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(получателя субсидий), являющегося юридическим лицом, об индивидуальном предпринимателе.</w:t>
      </w:r>
    </w:p>
    <w:p>
      <w:pPr>
        <w:pStyle w:val="0"/>
        <w:spacing w:before="200" w:line-rule="auto"/>
        <w:ind w:firstLine="540"/>
        <w:jc w:val="both"/>
      </w:pPr>
      <w:r>
        <w:rPr>
          <w:sz w:val="20"/>
        </w:rPr>
        <w:t xml:space="preserve">2.3.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заключение с Управлением договора о предоставлении субсидий;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73" w:tooltip="2.1. Право на получение субсидий имеют перевозчики:">
        <w:r>
          <w:rPr>
            <w:sz w:val="20"/>
            <w:color w:val="0000ff"/>
          </w:rPr>
          <w:t xml:space="preserve">пунктах 2.1</w:t>
        </w:r>
      </w:hyperlink>
      <w:r>
        <w:rPr>
          <w:sz w:val="20"/>
        </w:rPr>
        <w:t xml:space="preserve">, </w:t>
      </w:r>
      <w:hyperlink w:history="0" w:anchor="P78"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5 п. 2.3 приостановлено до 31.07.2024 </w:t>
            </w:r>
            <w:hyperlink w:history="0" r:id="rId21"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достижение получателем субсидий значений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bookmarkStart w:id="97" w:name="P97"/>
    <w:bookmarkEnd w:id="97"/>
    <w:p>
      <w:pPr>
        <w:pStyle w:val="0"/>
        <w:spacing w:before="200" w:line-rule="auto"/>
        <w:ind w:firstLine="540"/>
        <w:jc w:val="both"/>
      </w:pPr>
      <w:r>
        <w:rPr>
          <w:sz w:val="20"/>
        </w:rPr>
        <w:t xml:space="preserve">2.4. Для заключения договора о предоставлении субсидий (далее - Договор) претендент, соответствующий требованиям указанным в </w:t>
      </w:r>
      <w:hyperlink w:history="0" w:anchor="P73" w:tooltip="2.1. Право на получение субсидий имеют перевозчики:">
        <w:r>
          <w:rPr>
            <w:sz w:val="20"/>
            <w:color w:val="0000ff"/>
          </w:rPr>
          <w:t xml:space="preserve">пунктах 2.1</w:t>
        </w:r>
      </w:hyperlink>
      <w:r>
        <w:rPr>
          <w:sz w:val="20"/>
        </w:rPr>
        <w:t xml:space="preserve">, </w:t>
      </w:r>
      <w:hyperlink w:history="0" w:anchor="P78"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 подает в Управление </w:t>
      </w:r>
      <w:hyperlink w:history="0" w:anchor="P224" w:tooltip="ЗАЯВЛЕНИЕ">
        <w:r>
          <w:rPr>
            <w:sz w:val="20"/>
            <w:color w:val="0000ff"/>
          </w:rPr>
          <w:t xml:space="preserve">заявление</w:t>
        </w:r>
      </w:hyperlink>
      <w:r>
        <w:rPr>
          <w:sz w:val="20"/>
        </w:rPr>
        <w:t xml:space="preserve">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w:t>
      </w:r>
    </w:p>
    <w:p>
      <w:pPr>
        <w:pStyle w:val="0"/>
        <w:spacing w:before="200" w:line-rule="auto"/>
        <w:ind w:firstLine="540"/>
        <w:jc w:val="both"/>
      </w:pPr>
      <w:r>
        <w:rPr>
          <w:sz w:val="20"/>
        </w:rPr>
        <w:t xml:space="preserve">2.4.1. Заверенной копии договора с оператором АСОП.</w:t>
      </w:r>
    </w:p>
    <w:p>
      <w:pPr>
        <w:pStyle w:val="0"/>
        <w:spacing w:before="200" w:line-rule="auto"/>
        <w:ind w:firstLine="540"/>
        <w:jc w:val="both"/>
      </w:pPr>
      <w:r>
        <w:rPr>
          <w:sz w:val="20"/>
        </w:rPr>
        <w:t xml:space="preserve">2.4.2. Заверенной копии договора с оператором Цифрового сервиса ЕЦК.</w:t>
      </w:r>
    </w:p>
    <w:p>
      <w:pPr>
        <w:pStyle w:val="0"/>
        <w:spacing w:before="200" w:line-rule="auto"/>
        <w:ind w:firstLine="540"/>
        <w:jc w:val="both"/>
      </w:pPr>
      <w:r>
        <w:rPr>
          <w:sz w:val="20"/>
        </w:rPr>
        <w:t xml:space="preserve">2.4.3. Заверенной копии договора с оператором РНИС.</w:t>
      </w:r>
    </w:p>
    <w:p>
      <w:pPr>
        <w:pStyle w:val="0"/>
        <w:spacing w:before="200" w:line-rule="auto"/>
        <w:ind w:firstLine="540"/>
        <w:jc w:val="both"/>
      </w:pPr>
      <w:r>
        <w:rPr>
          <w:sz w:val="20"/>
        </w:rPr>
        <w:t xml:space="preserve">2.4.4. Выписки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сформированной на дату не позднее чем за 10 календарных дней до даты подачи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2.4.5. Заявления о том,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2.4.6. Заявления о том, что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2.4.7. Заявления о том, что претендент не находится в составляемых в рамках реализации полномочий, предусмотренных </w:t>
      </w:r>
      <w:hyperlink w:history="0" r:id="rId2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2.4.8. Заявления о том, что претендент не получает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2.4.9. Заявления о том, что претендент не является иностранным агентом в соответствии с Федеральным </w:t>
      </w:r>
      <w:hyperlink w:history="0" r:id="rId2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2.4.10.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2.4.11.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2.4.12.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2.4.13. </w:t>
      </w:r>
      <w:hyperlink w:history="0" w:anchor="P265" w:tooltip="                                  СПРАВКА">
        <w:r>
          <w:rPr>
            <w:sz w:val="20"/>
            <w:color w:val="0000ff"/>
          </w:rPr>
          <w:t xml:space="preserve">Справку</w:t>
        </w:r>
      </w:hyperlink>
      <w:r>
        <w:rPr>
          <w:sz w:val="20"/>
        </w:rPr>
        <w:t xml:space="preserve"> о наличии у претендента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2.4.14.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bookmarkStart w:id="112" w:name="P112"/>
    <w:bookmarkEnd w:id="112"/>
    <w:p>
      <w:pPr>
        <w:pStyle w:val="0"/>
        <w:spacing w:before="200" w:line-rule="auto"/>
        <w:ind w:firstLine="540"/>
        <w:jc w:val="both"/>
      </w:pPr>
      <w:r>
        <w:rPr>
          <w:sz w:val="20"/>
        </w:rPr>
        <w:t xml:space="preserve">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13" w:name="P113"/>
    <w:bookmarkEnd w:id="113"/>
    <w:p>
      <w:pPr>
        <w:pStyle w:val="0"/>
        <w:spacing w:before="200" w:line-rule="auto"/>
        <w:ind w:firstLine="540"/>
        <w:jc w:val="both"/>
      </w:pPr>
      <w:r>
        <w:rPr>
          <w:sz w:val="20"/>
        </w:rPr>
        <w:t xml:space="preserve">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w:t>
      </w:r>
    </w:p>
    <w:p>
      <w:pPr>
        <w:pStyle w:val="0"/>
        <w:spacing w:before="200" w:line-rule="auto"/>
        <w:ind w:firstLine="540"/>
        <w:jc w:val="both"/>
      </w:pPr>
      <w:r>
        <w:rPr>
          <w:sz w:val="20"/>
        </w:rPr>
        <w:t xml:space="preserve">Заявление может быть подано в срок до десятого числа текущего месяца.</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Документы, предусмотренные </w:t>
      </w:r>
      <w:hyperlink w:history="0" w:anchor="P112" w:tooltip="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w:r>
          <w:rPr>
            <w:sz w:val="20"/>
            <w:color w:val="0000ff"/>
          </w:rPr>
          <w:t xml:space="preserve">подпунктом 2.4.15 пункта 2.4</w:t>
        </w:r>
      </w:hyperlink>
      <w:r>
        <w:rPr>
          <w:sz w:val="20"/>
        </w:rPr>
        <w:t xml:space="preserve"> настоящего Порядка,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2.6. Управление осуществляет проверку соответствия претендента и представленных документов требованиям, установленным </w:t>
      </w:r>
      <w:hyperlink w:history="0" w:anchor="P73" w:tooltip="2.1. Право на получение субсидий имеют перевозчики:">
        <w:r>
          <w:rPr>
            <w:sz w:val="20"/>
            <w:color w:val="0000ff"/>
          </w:rPr>
          <w:t xml:space="preserve">пунктами 2.1</w:t>
        </w:r>
      </w:hyperlink>
      <w:r>
        <w:rPr>
          <w:sz w:val="20"/>
        </w:rPr>
        <w:t xml:space="preserve">, </w:t>
      </w:r>
      <w:hyperlink w:history="0" w:anchor="P78"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2.4</w:t>
        </w:r>
      </w:hyperlink>
      <w:r>
        <w:rPr>
          <w:sz w:val="20"/>
        </w:rPr>
        <w:t xml:space="preserve"> настоящего Порядка, и действующего законодательства Российской Федерации в течение десяти рабочих дней со дня поступления Заявления.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установленным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 итогам проведенной проверки Управление в день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w:t>
      </w:r>
    </w:p>
    <w:p>
      <w:pPr>
        <w:pStyle w:val="0"/>
        <w:spacing w:before="200" w:line-rule="auto"/>
        <w:ind w:firstLine="540"/>
        <w:jc w:val="both"/>
      </w:pPr>
      <w:r>
        <w:rPr>
          <w:sz w:val="20"/>
        </w:rPr>
        <w:t xml:space="preserve">2.7. В течение трех рабочих дней со дня принятия решения Управление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73" w:tooltip="2.1. Право на получение субсидий имеют перевозчики:">
        <w:r>
          <w:rPr>
            <w:sz w:val="20"/>
            <w:color w:val="0000ff"/>
          </w:rPr>
          <w:t xml:space="preserve">пунктах 2.1</w:t>
        </w:r>
      </w:hyperlink>
      <w:r>
        <w:rPr>
          <w:sz w:val="20"/>
        </w:rPr>
        <w:t xml:space="preserve">, </w:t>
      </w:r>
      <w:hyperlink w:history="0" w:anchor="P78"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Заявления и (или) документов требованиям, установленным в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history="0" w:anchor="P73" w:tooltip="2.1. Право на получение субсидий имеют перевозчики:">
        <w:r>
          <w:rPr>
            <w:sz w:val="20"/>
            <w:color w:val="0000ff"/>
          </w:rPr>
          <w:t xml:space="preserve">пунктах 2.1</w:t>
        </w:r>
      </w:hyperlink>
      <w:r>
        <w:rPr>
          <w:sz w:val="20"/>
        </w:rPr>
        <w:t xml:space="preserve">, </w:t>
      </w:r>
      <w:hyperlink w:history="0" w:anchor="P78"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подача претендентом Заявления после даты и (или) времени, определенных </w:t>
      </w:r>
      <w:hyperlink w:history="0" w:anchor="P113" w:tooltip="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
        <w:r>
          <w:rPr>
            <w:sz w:val="20"/>
            <w:color w:val="0000ff"/>
          </w:rPr>
          <w:t xml:space="preserve">пунктом 2.5</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 отсутствие (недостаточность) бюджетных ассигнований и лимитов бюджетных обязательств.</w:t>
      </w:r>
    </w:p>
    <w:p>
      <w:pPr>
        <w:pStyle w:val="0"/>
        <w:spacing w:before="200" w:line-rule="auto"/>
        <w:ind w:firstLine="540"/>
        <w:jc w:val="both"/>
      </w:pPr>
      <w:r>
        <w:rPr>
          <w:sz w:val="20"/>
        </w:rPr>
        <w:t xml:space="preserve">2.8. </w:t>
      </w:r>
      <w:hyperlink w:history="0" r:id="rId24"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Договор</w:t>
        </w:r>
      </w:hyperlink>
      <w:r>
        <w:rPr>
          <w:sz w:val="20"/>
        </w:rPr>
        <w:t xml:space="preserve"> между Управлением и получателями субсидий заключается в соответствии с типовой формой, установленной приказом финансово-казначейского управления администрации города Рязани от 21.12.2016 N 68о/д, в течение семи календарных дней со дня принятия решения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 приводящего к невозможности предоставления субсидий в размере, определенном в Договоре;</w:t>
      </w:r>
    </w:p>
    <w:p>
      <w:pPr>
        <w:pStyle w:val="0"/>
        <w:spacing w:before="200" w:line-rule="auto"/>
        <w:ind w:firstLine="540"/>
        <w:jc w:val="both"/>
      </w:pPr>
      <w:r>
        <w:rPr>
          <w:sz w:val="20"/>
        </w:rPr>
        <w:t xml:space="preserve">- условие о внесении изменений в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0"/>
        <w:spacing w:before="200" w:line-rule="auto"/>
        <w:ind w:firstLine="540"/>
        <w:jc w:val="both"/>
      </w:pPr>
      <w:r>
        <w:rPr>
          <w:sz w:val="20"/>
        </w:rPr>
        <w:t xml:space="preserve">- условие о расторжении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pPr>
        <w:pStyle w:val="0"/>
        <w:spacing w:before="200" w:line-rule="auto"/>
        <w:ind w:firstLine="540"/>
        <w:jc w:val="both"/>
      </w:pPr>
      <w:r>
        <w:rPr>
          <w:sz w:val="20"/>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5" w:tooltip="&quot;Бюджетный кодекс Российской Федерации&quot; от 31.07.1998 N 145-ФЗ (ред. от 22.06.2024) {КонсультантПлюс}">
        <w:r>
          <w:rPr>
            <w:sz w:val="20"/>
            <w:color w:val="0000ff"/>
          </w:rPr>
          <w:t xml:space="preserve">статьями 268.1</w:t>
        </w:r>
      </w:hyperlink>
      <w:r>
        <w:rPr>
          <w:sz w:val="20"/>
        </w:rPr>
        <w:t xml:space="preserve"> и </w:t>
      </w:r>
      <w:hyperlink w:history="0" r:id="rId26" w:tooltip="&quot;Бюджетный кодекс Российской Федерации&quot; от 31.07.1998 N 145-ФЗ (ред. от 22.06.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Договор может содержать условие о перечислении получателю субсидий авансового платежа в размере до 30% от суммы субсидии, перечисленной в соответствии с утвержденным Управлением расчетом сумм недополученных доходов, связанных с предоставлением льгот по оплате проезда (далее - расчеты) за предыдущий месяц. В этом случае окончательная сумма субсидии, подлежащая выплате получателю субсидии, уменьшается на сумму авансового платежа.</w:t>
      </w:r>
    </w:p>
    <w:p>
      <w:pPr>
        <w:pStyle w:val="0"/>
        <w:spacing w:before="200" w:line-rule="auto"/>
        <w:ind w:firstLine="540"/>
        <w:jc w:val="both"/>
      </w:pPr>
      <w:r>
        <w:rPr>
          <w:sz w:val="20"/>
        </w:rPr>
        <w:t xml:space="preserve">2.9.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w:t>
      </w:r>
    </w:p>
    <w:p>
      <w:pPr>
        <w:pStyle w:val="0"/>
        <w:spacing w:before="200" w:line-rule="auto"/>
        <w:ind w:firstLine="540"/>
        <w:jc w:val="both"/>
      </w:pPr>
      <w:r>
        <w:rPr>
          <w:sz w:val="20"/>
        </w:rPr>
        <w:t xml:space="preserve">2.10.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Т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Т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bookmarkStart w:id="149" w:name="P149"/>
    <w:bookmarkEnd w:id="149"/>
    <w:p>
      <w:pPr>
        <w:pStyle w:val="0"/>
        <w:spacing w:before="200" w:line-rule="auto"/>
        <w:ind w:firstLine="540"/>
        <w:jc w:val="both"/>
      </w:pPr>
      <w:r>
        <w:rPr>
          <w:sz w:val="20"/>
        </w:rPr>
        <w:t xml:space="preserve">2.11. Для получения субсидий получатель субсидий до десятого числа месяца, следующего за отчетным, подает в Управление </w:t>
      </w:r>
      <w:hyperlink w:history="0" w:anchor="P332" w:tooltip="                                  ЗАЯВКА">
        <w:r>
          <w:rPr>
            <w:sz w:val="20"/>
            <w:color w:val="0000ff"/>
          </w:rPr>
          <w:t xml:space="preserve">заявку</w:t>
        </w:r>
      </w:hyperlink>
      <w:r>
        <w:rPr>
          <w:sz w:val="20"/>
        </w:rPr>
        <w:t xml:space="preserve"> на предоставление субсидий (далее - Заявка) по форме в соответствии с приложением N 3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2.11.1 п. 2.11 приостановлено до 31.07.2024 </w:t>
            </w:r>
            <w:hyperlink w:history="0" r:id="rId27"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2.11.1. </w:t>
      </w:r>
      <w:hyperlink w:history="0" w:anchor="P385" w:tooltip="ОТЧЕТ">
        <w:r>
          <w:rPr>
            <w:sz w:val="20"/>
            <w:color w:val="0000ff"/>
          </w:rPr>
          <w:t xml:space="preserve">Отчета</w:t>
        </w:r>
      </w:hyperlink>
      <w:r>
        <w:rPr>
          <w:sz w:val="20"/>
        </w:rPr>
        <w:t xml:space="preserve"> о достижении значений результата предоставления субсидий, а также характеристик результата, по форме в соответствии с приложением N 4 к настоящему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2.11.2 п. 2.11 приостановлено до 31.07.2024 </w:t>
            </w:r>
            <w:hyperlink w:history="0" r:id="rId28"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2.11.2. Аналитической информации оператора РНИС по результатам мониторинга движения транспортных средств по </w:t>
      </w:r>
      <w:hyperlink w:history="0" r:id="rId29"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в соответствии с приложением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2.11.3. Расчетов сумм недополученных доходов, связанных с предоставлением льгот по оплате проезда (далее - расчеты), по формам в соответствии с </w:t>
      </w:r>
      <w:hyperlink w:history="0" w:anchor="P469" w:tooltip="РАСЧЕТ">
        <w:r>
          <w:rPr>
            <w:sz w:val="20"/>
            <w:color w:val="0000ff"/>
          </w:rPr>
          <w:t xml:space="preserve">приложениями NN 5</w:t>
        </w:r>
      </w:hyperlink>
      <w:r>
        <w:rPr>
          <w:sz w:val="20"/>
        </w:rPr>
        <w:t xml:space="preserve">, </w:t>
      </w:r>
      <w:hyperlink w:history="0" w:anchor="P540"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2.11.4. Заявления о том, что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2.11.5. Заявления о том, что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2.11.6. Заявления о том, что получатель субсидий не находится в составляемых в рамках реализации полномочий, предусмотренных </w:t>
      </w:r>
      <w:hyperlink w:history="0" r:id="rId3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2.11.7. Заявления о том, что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2.11.8. Заявления о том, что получатель субсидий не является иностранным агентом в соответствии с Федеральным </w:t>
      </w:r>
      <w:hyperlink w:history="0" r:id="rId3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2.11.9.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2.11.10.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2.11.11.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2.11.12. </w:t>
      </w:r>
      <w:hyperlink w:history="0" w:anchor="P265" w:tooltip="                                  СПРАВКА">
        <w:r>
          <w:rPr>
            <w:sz w:val="20"/>
            <w:color w:val="0000ff"/>
          </w:rPr>
          <w:t xml:space="preserve">Справки</w:t>
        </w:r>
      </w:hyperlink>
      <w:r>
        <w:rPr>
          <w:sz w:val="20"/>
        </w:rPr>
        <w:t xml:space="preserve"> о наличии у получателя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2.11.13.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2.11.14.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66" w:name="P166"/>
    <w:bookmarkEnd w:id="166"/>
    <w:p>
      <w:pPr>
        <w:pStyle w:val="0"/>
        <w:spacing w:before="200" w:line-rule="auto"/>
        <w:ind w:firstLine="540"/>
        <w:jc w:val="both"/>
      </w:pPr>
      <w:r>
        <w:rPr>
          <w:sz w:val="20"/>
        </w:rPr>
        <w:t xml:space="preserve">2.12. Управление в срок не более десяти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622"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предоставлением льгот по оплате проезда (далее - реестр), по форме в соответствии с приложением N 7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расчеты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83" w:tooltip="2.14. Основания для отказа получателю субсидий в предоставлении субсидии:">
        <w:r>
          <w:rPr>
            <w:sz w:val="20"/>
            <w:color w:val="0000ff"/>
          </w:rPr>
          <w:t xml:space="preserve">пункте 2.14</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Решение о предоставлении субсидий оформляется приказом начальника Управления.</w:t>
      </w:r>
    </w:p>
    <w:p>
      <w:pPr>
        <w:pStyle w:val="0"/>
        <w:spacing w:before="200" w:line-rule="auto"/>
        <w:ind w:firstLine="540"/>
        <w:jc w:val="both"/>
      </w:pPr>
      <w:r>
        <w:rPr>
          <w:sz w:val="20"/>
        </w:rPr>
        <w:t xml:space="preserve">2.13. Перечисление денежных средств получателям субсидий за январь - декабрь 2024 года осуществляется МКУ "ЦС" с лицевого счета Управления,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решения о предоставлении субсидий.</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главного распорядителя средств бюджета города Рязани Управление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МКУ "ЦС" с лицевого счета администрации,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на основании следующих документов:</w:t>
      </w:r>
    </w:p>
    <w:p>
      <w:pPr>
        <w:pStyle w:val="0"/>
        <w:spacing w:before="200" w:line-rule="auto"/>
        <w:ind w:firstLine="540"/>
        <w:jc w:val="both"/>
      </w:pPr>
      <w:r>
        <w:rPr>
          <w:sz w:val="20"/>
        </w:rPr>
        <w:t xml:space="preserve">- заявки на предоставление субсидии по форме в соответствии с </w:t>
      </w:r>
      <w:hyperlink w:history="0" r:id="rId32"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2</w:t>
        </w:r>
      </w:hyperlink>
      <w:r>
        <w:rPr>
          <w:sz w:val="20"/>
        </w:rPr>
        <w:t xml:space="preserve"> к Порядку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утвержденному Постановлением администрации города Рязани от 01.03.2023 N 2331 (далее - Порядок предоставления субсидий в 2023 году), с приложением документов, установленных </w:t>
      </w:r>
      <w:hyperlink w:history="0" r:id="rId33"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пунктом 2.8</w:t>
        </w:r>
      </w:hyperlink>
      <w:r>
        <w:rPr>
          <w:sz w:val="20"/>
        </w:rPr>
        <w:t xml:space="preserve"> Порядка предоставления субсидий в 2023 году;</w:t>
      </w:r>
    </w:p>
    <w:p>
      <w:pPr>
        <w:pStyle w:val="0"/>
        <w:spacing w:before="200" w:line-rule="auto"/>
        <w:ind w:firstLine="540"/>
        <w:jc w:val="both"/>
      </w:pPr>
      <w:r>
        <w:rPr>
          <w:sz w:val="20"/>
        </w:rPr>
        <w:t xml:space="preserve">- расчетов сумм недополученных доходов, связанных с предоставлением льгот по оплате проезда, по формам в соответствии с </w:t>
      </w:r>
      <w:hyperlink w:history="0" r:id="rId34"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приложениями N 4</w:t>
        </w:r>
      </w:hyperlink>
      <w:r>
        <w:rPr>
          <w:sz w:val="20"/>
        </w:rPr>
        <w:t xml:space="preserve">, </w:t>
      </w:r>
      <w:hyperlink w:history="0" r:id="rId35"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5</w:t>
        </w:r>
      </w:hyperlink>
      <w:r>
        <w:rPr>
          <w:sz w:val="20"/>
        </w:rPr>
        <w:t xml:space="preserve"> к Порядку предоставления субсидий в 2023 году, проверку и утверждение которых осуществляет Управление;</w:t>
      </w:r>
    </w:p>
    <w:p>
      <w:pPr>
        <w:pStyle w:val="0"/>
        <w:spacing w:before="200" w:line-rule="auto"/>
        <w:ind w:firstLine="540"/>
        <w:jc w:val="both"/>
      </w:pPr>
      <w:r>
        <w:rPr>
          <w:sz w:val="20"/>
        </w:rPr>
        <w:t xml:space="preserve">- реестра получателей субсидий на возмещение недополученных доходов, связанных с предоставлением льгот по оплате проезда, по форме в соответствии с </w:t>
      </w:r>
      <w:hyperlink w:history="0" r:id="rId36"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6</w:t>
        </w:r>
      </w:hyperlink>
      <w:r>
        <w:rPr>
          <w:sz w:val="20"/>
        </w:rPr>
        <w:t xml:space="preserve"> к Порядку предоставления субсидий в 2023 году, утвержденного должностным лицом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Решение о предоставлении субсидий за декабрь 2023 года принимается Управлением в форме приказа начальника Управления.</w:t>
      </w:r>
    </w:p>
    <w:p>
      <w:pPr>
        <w:pStyle w:val="0"/>
        <w:jc w:val="both"/>
      </w:pPr>
      <w:r>
        <w:rPr>
          <w:sz w:val="20"/>
        </w:rPr>
        <w:t xml:space="preserve">(п. 2.13 в ред. </w:t>
      </w:r>
      <w:hyperlink w:history="0" r:id="rId37"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bookmarkStart w:id="183" w:name="P183"/>
    <w:bookmarkEnd w:id="183"/>
    <w:p>
      <w:pPr>
        <w:pStyle w:val="0"/>
        <w:spacing w:before="200" w:line-rule="auto"/>
        <w:ind w:firstLine="540"/>
        <w:jc w:val="both"/>
      </w:pPr>
      <w:r>
        <w:rPr>
          <w:sz w:val="20"/>
        </w:rPr>
        <w:t xml:space="preserve">2.14.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субсидий документов требованиям, определенным в </w:t>
      </w:r>
      <w:hyperlink w:history="0" w:anchor="P149"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субсидий информации.</w:t>
      </w:r>
    </w:p>
    <w:p>
      <w:pPr>
        <w:pStyle w:val="0"/>
        <w:spacing w:before="200" w:line-rule="auto"/>
        <w:ind w:firstLine="540"/>
        <w:jc w:val="both"/>
      </w:pPr>
      <w:r>
        <w:rPr>
          <w:sz w:val="20"/>
        </w:rPr>
        <w:t xml:space="preserve">2.15. Результат предоставления субсидий - 100%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2.16 приостановлено до 31.07.2024 </w:t>
            </w:r>
            <w:hyperlink w:history="0" r:id="rId38"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2.16. Характеристикой результата предоставления субсидий, является стабильность транспортного обслуживания населения при осуществлении регулярных перевозок,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(параметрами) результата предоставления субсидий, является: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установленных расписанием движения транспортных средств.</w:t>
      </w:r>
    </w:p>
    <w:bookmarkStart w:id="192" w:name="P192"/>
    <w:bookmarkEnd w:id="192"/>
    <w:p>
      <w:pPr>
        <w:pStyle w:val="0"/>
        <w:spacing w:before="200" w:line-rule="auto"/>
        <w:ind w:firstLine="540"/>
        <w:jc w:val="both"/>
      </w:pPr>
      <w:r>
        <w:rPr>
          <w:sz w:val="20"/>
        </w:rPr>
        <w:t xml:space="preserve">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получателю субсидий в срок не более десяти календарных дней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срок не более десяти календарных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десятидневный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3.1 приостановлено до 31.07.2024 </w:t>
            </w:r>
            <w:hyperlink w:history="0" r:id="rId39"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Отчетность о достижении значений результата предоставления субсидий, а также характеристики результата, получатель субсидий представляет в Управление ежемесячно в порядке и сроки, установленные в </w:t>
      </w:r>
      <w:hyperlink w:history="0" w:anchor="P149"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3.2 приостановлено до 31.07.2024 </w:t>
            </w:r>
            <w:hyperlink w:history="0" r:id="rId40" w:tooltip="Постановление Администрации города Рязани от 29.02.2024 N 2572 (ред. от 30.05.2024) &quot;О приостановлении действия отдельных положений муниципальных правовых актов администрации города Рязани&quot; ------------ Недействующая редакция {КонсультантПлюс}">
              <w:r>
                <w:rPr>
                  <w:sz w:val="20"/>
                  <w:color w:val="0000ff"/>
                </w:rPr>
                <w:t xml:space="preserve">Постановлением</w:t>
              </w:r>
            </w:hyperlink>
            <w:r>
              <w:rPr>
                <w:sz w:val="20"/>
                <w:color w:val="392c69"/>
              </w:rPr>
              <w:t xml:space="preserve"> Администрации города Рязани 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Проверка и принятие Управлением предоставленной получателем субсидий отчетности о достижении значений результата предоставления субсидий, а также характеристики результата осуществляется Управлением ежемесячно в порядке и сроки, установленные в </w:t>
      </w:r>
      <w:hyperlink w:history="0" w:anchor="P166" w:tooltip="2.12. Управление в срок не более десяти рабочих дней после предоставления получателями субсидий документов:">
        <w:r>
          <w:rPr>
            <w:sz w:val="20"/>
            <w:color w:val="0000ff"/>
          </w:rPr>
          <w:t xml:space="preserve">пункте 2.12</w:t>
        </w:r>
      </w:hyperlink>
      <w:r>
        <w:rPr>
          <w:sz w:val="20"/>
        </w:rPr>
        <w:t xml:space="preserve"> настоящего Порядка.</w:t>
      </w:r>
    </w:p>
    <w:p>
      <w:pPr>
        <w:pStyle w:val="0"/>
        <w:spacing w:before="200" w:line-rule="auto"/>
        <w:ind w:firstLine="540"/>
        <w:jc w:val="both"/>
      </w:pPr>
      <w:r>
        <w:rPr>
          <w:sz w:val="20"/>
        </w:rPr>
        <w:t xml:space="preserve">3.3. Полномочия главного распорядителя средств бюджета города Рязани - Управления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по осуществлению проверок в соответствии со </w:t>
      </w:r>
      <w:hyperlink w:history="0" r:id="rId41" w:tooltip="&quot;Бюджетный кодекс Российской Федерации&quot; от 31.07.1998 N 145-ФЗ (ред. от 22.06.2024) {КонсультантПлюс}">
        <w:r>
          <w:rPr>
            <w:sz w:val="20"/>
            <w:color w:val="0000ff"/>
          </w:rPr>
          <w:t xml:space="preserve">статьями 268.1</w:t>
        </w:r>
      </w:hyperlink>
      <w:r>
        <w:rPr>
          <w:sz w:val="20"/>
        </w:rPr>
        <w:t xml:space="preserve"> и </w:t>
      </w:r>
      <w:hyperlink w:history="0" r:id="rId42" w:tooltip="&quot;Бюджетный кодекс Российской Федерации&quot; от 31.07.1998 N 145-ФЗ (ред. от 22.06.2024)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00" w:line-rule="auto"/>
        <w:ind w:firstLine="540"/>
        <w:jc w:val="both"/>
      </w:pPr>
      <w:r>
        <w:rPr>
          <w:sz w:val="20"/>
        </w:rPr>
        <w:t xml:space="preserve">3.4. В случае нарушения получателем субсидий условий и порядка, установленных при предоставлении субсидий,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предоставления субсидий, к получателю субсидий применяется мера ответственности в виде возврата субсидий в бюджет города Рязани в порядке, установленном в </w:t>
      </w:r>
      <w:hyperlink w:history="0" w:anchor="P192" w:tooltip="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2.17</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224" w:name="P224"/>
    <w:bookmarkEnd w:id="224"/>
    <w:p>
      <w:pPr>
        <w:pStyle w:val="0"/>
        <w:jc w:val="center"/>
      </w:pPr>
      <w:r>
        <w:rPr>
          <w:sz w:val="20"/>
        </w:rPr>
        <w:t xml:space="preserve">ЗАЯВЛЕНИЕ</w:t>
      </w:r>
    </w:p>
    <w:p>
      <w:pPr>
        <w:pStyle w:val="0"/>
        <w:jc w:val="center"/>
      </w:pPr>
      <w:r>
        <w:rPr>
          <w:sz w:val="20"/>
        </w:rPr>
        <w:t xml:space="preserve">о заключении договора о предоставлении субсидий</w:t>
      </w:r>
    </w:p>
    <w:p>
      <w:pPr>
        <w:pStyle w:val="0"/>
        <w:jc w:val="both"/>
      </w:pPr>
      <w:r>
        <w:rPr>
          <w:sz w:val="20"/>
        </w:rPr>
      </w:r>
    </w:p>
    <w:p>
      <w:pPr>
        <w:pStyle w:val="0"/>
        <w:ind w:firstLine="540"/>
        <w:jc w:val="both"/>
      </w:pPr>
      <w:r>
        <w:rPr>
          <w:sz w:val="20"/>
        </w:rPr>
        <w:t xml:space="preserve">Порядковый номер муниципального маршрута регулярных перевозок: 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w:t>
      </w:r>
    </w:p>
    <w:p>
      <w:pPr>
        <w:pStyle w:val="0"/>
        <w:spacing w:before="200" w:line-rule="auto"/>
        <w:ind w:firstLine="540"/>
        <w:jc w:val="both"/>
      </w:pPr>
      <w:r>
        <w:rPr>
          <w:sz w:val="20"/>
        </w:rPr>
        <w:t xml:space="preserve">В соответствие с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утвержденного постановлением администрации города Рязани от ___________ N _______ (далее - Порядок) прошу заключить договор о предоставлении из бюджета города Рязани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транспортом общего пользования города Рязани.</w:t>
      </w:r>
    </w:p>
    <w:p>
      <w:pPr>
        <w:pStyle w:val="0"/>
        <w:spacing w:before="200" w:line-rule="auto"/>
        <w:ind w:firstLine="540"/>
        <w:jc w:val="both"/>
      </w:pPr>
      <w:r>
        <w:rPr>
          <w:sz w:val="20"/>
        </w:rPr>
        <w:t xml:space="preserve">Настоящим подтверждаю достоверность и полноту информации представленной в заявлении и прилагаемых к нему документах.</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Заверенная копия договора с оператором АСОП.</w:t>
      </w:r>
    </w:p>
    <w:p>
      <w:pPr>
        <w:pStyle w:val="0"/>
        <w:spacing w:before="200" w:line-rule="auto"/>
        <w:ind w:firstLine="540"/>
        <w:jc w:val="both"/>
      </w:pPr>
      <w:r>
        <w:rPr>
          <w:sz w:val="20"/>
        </w:rPr>
        <w:t xml:space="preserve">2. Заверенная копия договора с оператором Цифрового сервиса ЕЦК.</w:t>
      </w:r>
    </w:p>
    <w:p>
      <w:pPr>
        <w:pStyle w:val="0"/>
        <w:spacing w:before="200" w:line-rule="auto"/>
        <w:ind w:firstLine="540"/>
        <w:jc w:val="both"/>
      </w:pPr>
      <w:r>
        <w:rPr>
          <w:sz w:val="20"/>
        </w:rPr>
        <w:t xml:space="preserve">3. Заверенная копия договора с оператором РНИС.</w:t>
      </w:r>
    </w:p>
    <w:p>
      <w:pPr>
        <w:pStyle w:val="0"/>
        <w:spacing w:before="200" w:line-rule="auto"/>
        <w:ind w:firstLine="540"/>
        <w:jc w:val="both"/>
      </w:pPr>
      <w:r>
        <w:rPr>
          <w:sz w:val="20"/>
        </w:rPr>
        <w:t xml:space="preserve">4. Выписка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сформированная на дату не позднее чем за 10 календарных дней до даты подачи настоящего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5. Заявление о том, что на первое число месяца, в котором подано настоящее заявление,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6. Заявление о том, что на первое число месяца, в котором подано настоящее заявление,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7. Заявление о том, что на первое число месяца, в котором подано настоящее заявление, претендент не находится в составляемых в рамках реализации полномочий, предусмотренных </w:t>
      </w:r>
      <w:hyperlink w:history="0" r:id="rId4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8. Заявление о том, что на первое число месяца, в котором подано настоящее заявление, претендент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9. Заявление о том, что на первое число месяца, в котором подано настоящее заявление, претендент не является иностранным агентом в соответствии с Федеральным </w:t>
      </w:r>
      <w:hyperlink w:history="0" r:id="rId4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10. Заявление об отсутствии на первое число месяца, в котором подано настоящее заявление,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11. Заявление юридического лица о том, что на первое число месяца, в котором подано настоящее заявление,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12. Заявление индивидуального предпринимателя о том, что на первое число месяца, в котором подано настоящее заявление,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13. Справка о наличии у претендента на первое число месяца, в котором подано настоящее заявление,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14. Заверенные копии документов, подтверждающих на первое число месяца, в котором подано настоящее заявление,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настоящего заявления.</w:t>
      </w:r>
    </w:p>
    <w:p>
      <w:pPr>
        <w:pStyle w:val="0"/>
        <w:jc w:val="both"/>
      </w:pPr>
      <w:r>
        <w:rPr>
          <w:sz w:val="20"/>
        </w:rPr>
      </w:r>
    </w:p>
    <w:p>
      <w:pPr>
        <w:pStyle w:val="0"/>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265" w:name="P265"/>
    <w:bookmarkEnd w:id="265"/>
    <w:p>
      <w:pPr>
        <w:pStyle w:val="1"/>
        <w:jc w:val="both"/>
      </w:pPr>
      <w:r>
        <w:rPr>
          <w:sz w:val="20"/>
        </w:rPr>
        <w:t xml:space="preserve">                                  СПРАВКА</w:t>
      </w:r>
    </w:p>
    <w:p>
      <w:pPr>
        <w:pStyle w:val="1"/>
        <w:jc w:val="both"/>
      </w:pPr>
      <w:r>
        <w:rPr>
          <w:sz w:val="20"/>
        </w:rPr>
        <w:t xml:space="preserve">                      о наличии транспортных средств</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____________</w:t>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1517"/>
        <w:gridCol w:w="964"/>
        <w:gridCol w:w="1118"/>
        <w:gridCol w:w="1272"/>
        <w:gridCol w:w="2098"/>
        <w:gridCol w:w="1417"/>
      </w:tblGrid>
      <w:tr>
        <w:tc>
          <w:tcPr>
            <w:tcW w:w="538" w:type="dxa"/>
          </w:tcPr>
          <w:p>
            <w:pPr>
              <w:pStyle w:val="0"/>
              <w:jc w:val="center"/>
            </w:pPr>
            <w:r>
              <w:rPr>
                <w:sz w:val="20"/>
              </w:rPr>
              <w:t xml:space="preserve">NN пп</w:t>
            </w:r>
          </w:p>
        </w:tc>
        <w:tc>
          <w:tcPr>
            <w:tcW w:w="1517" w:type="dxa"/>
          </w:tcPr>
          <w:p>
            <w:pPr>
              <w:pStyle w:val="0"/>
              <w:jc w:val="center"/>
            </w:pPr>
            <w:r>
              <w:rPr>
                <w:sz w:val="20"/>
              </w:rPr>
              <w:t xml:space="preserve">Марка, модель ТС</w:t>
            </w:r>
          </w:p>
        </w:tc>
        <w:tc>
          <w:tcPr>
            <w:tcW w:w="964" w:type="dxa"/>
          </w:tcPr>
          <w:p>
            <w:pPr>
              <w:pStyle w:val="0"/>
              <w:jc w:val="center"/>
            </w:pPr>
            <w:r>
              <w:rPr>
                <w:sz w:val="20"/>
              </w:rPr>
              <w:t xml:space="preserve">Класс</w:t>
            </w:r>
          </w:p>
        </w:tc>
        <w:tc>
          <w:tcPr>
            <w:tcW w:w="1118" w:type="dxa"/>
          </w:tcPr>
          <w:p>
            <w:pPr>
              <w:pStyle w:val="0"/>
              <w:jc w:val="center"/>
            </w:pPr>
            <w:r>
              <w:rPr>
                <w:sz w:val="20"/>
              </w:rPr>
              <w:t xml:space="preserve">Год выпуска</w:t>
            </w:r>
          </w:p>
        </w:tc>
        <w:tc>
          <w:tcPr>
            <w:tcW w:w="1272" w:type="dxa"/>
          </w:tcPr>
          <w:p>
            <w:pPr>
              <w:pStyle w:val="0"/>
              <w:jc w:val="center"/>
            </w:pPr>
            <w:r>
              <w:rPr>
                <w:sz w:val="20"/>
              </w:rPr>
              <w:t xml:space="preserve">VIN</w:t>
            </w:r>
          </w:p>
        </w:tc>
        <w:tc>
          <w:tcPr>
            <w:tcW w:w="2098" w:type="dxa"/>
          </w:tcPr>
          <w:p>
            <w:pPr>
              <w:pStyle w:val="0"/>
              <w:jc w:val="center"/>
            </w:pPr>
            <w:r>
              <w:rPr>
                <w:sz w:val="20"/>
              </w:rPr>
              <w:t xml:space="preserve">Государственный регистрационный знак</w:t>
            </w:r>
          </w:p>
        </w:tc>
        <w:tc>
          <w:tcPr>
            <w:tcW w:w="1417" w:type="dxa"/>
          </w:tcPr>
          <w:p>
            <w:pPr>
              <w:pStyle w:val="0"/>
              <w:jc w:val="center"/>
            </w:pPr>
            <w:r>
              <w:rPr>
                <w:sz w:val="20"/>
              </w:rPr>
              <w:t xml:space="preserve">Основание владения</w:t>
            </w:r>
          </w:p>
        </w:tc>
      </w:tr>
      <w:tr>
        <w:tc>
          <w:tcPr>
            <w:tcW w:w="538" w:type="dxa"/>
          </w:tcPr>
          <w:p>
            <w:pPr>
              <w:pStyle w:val="0"/>
              <w:jc w:val="center"/>
            </w:pPr>
            <w:r>
              <w:rPr>
                <w:sz w:val="20"/>
              </w:rPr>
              <w:t xml:space="preserve">1</w:t>
            </w:r>
          </w:p>
        </w:tc>
        <w:tc>
          <w:tcPr>
            <w:tcW w:w="1517" w:type="dxa"/>
          </w:tcPr>
          <w:p>
            <w:pPr>
              <w:pStyle w:val="0"/>
              <w:jc w:val="center"/>
            </w:pPr>
            <w:r>
              <w:rPr>
                <w:sz w:val="20"/>
              </w:rPr>
              <w:t xml:space="preserve">2</w:t>
            </w:r>
          </w:p>
        </w:tc>
        <w:tc>
          <w:tcPr>
            <w:tcW w:w="964" w:type="dxa"/>
          </w:tcPr>
          <w:p>
            <w:pPr>
              <w:pStyle w:val="0"/>
              <w:jc w:val="center"/>
            </w:pPr>
            <w:r>
              <w:rPr>
                <w:sz w:val="20"/>
              </w:rPr>
              <w:t xml:space="preserve">3</w:t>
            </w:r>
          </w:p>
        </w:tc>
        <w:tc>
          <w:tcPr>
            <w:tcW w:w="1118" w:type="dxa"/>
          </w:tcPr>
          <w:p>
            <w:pPr>
              <w:pStyle w:val="0"/>
              <w:jc w:val="center"/>
            </w:pPr>
            <w:r>
              <w:rPr>
                <w:sz w:val="20"/>
              </w:rPr>
              <w:t xml:space="preserve">4</w:t>
            </w:r>
          </w:p>
        </w:tc>
        <w:tc>
          <w:tcPr>
            <w:tcW w:w="1272" w:type="dxa"/>
          </w:tcPr>
          <w:p>
            <w:pPr>
              <w:pStyle w:val="0"/>
              <w:jc w:val="center"/>
            </w:pPr>
            <w:r>
              <w:rPr>
                <w:sz w:val="20"/>
              </w:rPr>
              <w:t xml:space="preserve">5</w:t>
            </w:r>
          </w:p>
        </w:tc>
        <w:tc>
          <w:tcPr>
            <w:tcW w:w="2098" w:type="dxa"/>
          </w:tcPr>
          <w:p>
            <w:pPr>
              <w:pStyle w:val="0"/>
              <w:jc w:val="center"/>
            </w:pPr>
            <w:r>
              <w:rPr>
                <w:sz w:val="20"/>
              </w:rPr>
              <w:t xml:space="preserve">6</w:t>
            </w:r>
          </w:p>
        </w:tc>
        <w:tc>
          <w:tcPr>
            <w:tcW w:w="1417" w:type="dxa"/>
          </w:tcPr>
          <w:p>
            <w:pPr>
              <w:pStyle w:val="0"/>
              <w:jc w:val="center"/>
            </w:pPr>
            <w:r>
              <w:rPr>
                <w:sz w:val="20"/>
              </w:rPr>
              <w:t xml:space="preserve">7</w:t>
            </w:r>
          </w:p>
        </w:tc>
      </w:tr>
      <w:tr>
        <w:tc>
          <w:tcPr>
            <w:tcW w:w="538" w:type="dxa"/>
          </w:tcPr>
          <w:p>
            <w:pPr>
              <w:pStyle w:val="0"/>
              <w:jc w:val="center"/>
            </w:pPr>
            <w:r>
              <w:rPr>
                <w:sz w:val="20"/>
              </w:rPr>
              <w:t xml:space="preserve">1</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jc w:val="center"/>
            </w:pPr>
            <w:r>
              <w:rPr>
                <w:sz w:val="20"/>
              </w:rPr>
              <w:t xml:space="preserve">2</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pPr>
            <w:r>
              <w:rPr>
                <w:sz w:val="20"/>
              </w:rPr>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Достоверность и полноту представленной информации подтверждаю.</w:t>
      </w:r>
    </w:p>
    <w:p>
      <w:pPr>
        <w:pStyle w:val="0"/>
        <w:jc w:val="both"/>
      </w:pPr>
      <w:r>
        <w:rPr>
          <w:sz w:val="20"/>
        </w:rPr>
      </w:r>
    </w:p>
    <w:p>
      <w:pPr>
        <w:pStyle w:val="0"/>
        <w:ind w:firstLine="540"/>
        <w:jc w:val="both"/>
      </w:pPr>
      <w:r>
        <w:rPr>
          <w:sz w:val="20"/>
        </w:rPr>
        <w:t xml:space="preserve">Справка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332" w:name="P332"/>
    <w:bookmarkEnd w:id="332"/>
    <w:p>
      <w:pPr>
        <w:pStyle w:val="1"/>
        <w:jc w:val="both"/>
      </w:pPr>
      <w:r>
        <w:rPr>
          <w:sz w:val="20"/>
        </w:rPr>
        <w:t xml:space="preserve">                                  ЗАЯВКА</w:t>
      </w:r>
    </w:p>
    <w:p>
      <w:pPr>
        <w:pStyle w:val="1"/>
        <w:jc w:val="both"/>
      </w:pPr>
      <w:r>
        <w:rPr>
          <w:sz w:val="20"/>
        </w:rPr>
        <w:t xml:space="preserve">                        на предоставление субсидий</w:t>
      </w:r>
    </w:p>
    <w:p>
      <w:pPr>
        <w:pStyle w:val="1"/>
        <w:jc w:val="both"/>
      </w:pPr>
      <w:r>
        <w:rPr>
          <w:sz w:val="20"/>
        </w:rPr>
      </w:r>
    </w:p>
    <w:p>
      <w:pPr>
        <w:pStyle w:val="1"/>
        <w:jc w:val="both"/>
      </w:pPr>
      <w:r>
        <w:rPr>
          <w:sz w:val="20"/>
        </w:rPr>
        <w:t xml:space="preserve">    Номер и дата договора о предоставлении субсидий:               ________</w:t>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Период:                                                        ________</w:t>
      </w:r>
    </w:p>
    <w:p>
      <w:pPr>
        <w:pStyle w:val="1"/>
        <w:jc w:val="both"/>
      </w:pPr>
      <w:r>
        <w:rPr>
          <w:sz w:val="20"/>
        </w:rPr>
        <w:t xml:space="preserve">    Прошу  предоставить субсидию в целях возмещения недополученных доходов,</w:t>
      </w:r>
    </w:p>
    <w:p>
      <w:pPr>
        <w:pStyle w:val="1"/>
        <w:jc w:val="both"/>
      </w:pPr>
      <w:r>
        <w:rPr>
          <w:sz w:val="20"/>
        </w:rPr>
        <w:t xml:space="preserve">связанных  с  установлением  органами местного самоуправления города Рязани</w:t>
      </w:r>
    </w:p>
    <w:p>
      <w:pPr>
        <w:pStyle w:val="1"/>
        <w:jc w:val="both"/>
      </w:pPr>
      <w:r>
        <w:rPr>
          <w:sz w:val="20"/>
        </w:rPr>
        <w:t xml:space="preserve">дополнительных  мер  социальной  поддержки  и  социальной  помощи отдельным</w:t>
      </w:r>
    </w:p>
    <w:p>
      <w:pPr>
        <w:pStyle w:val="1"/>
        <w:jc w:val="both"/>
      </w:pPr>
      <w:r>
        <w:rPr>
          <w:sz w:val="20"/>
        </w:rPr>
        <w:t xml:space="preserve">категориям  граждан  по  полному  или  частичному  освобождению от платы за</w:t>
      </w:r>
    </w:p>
    <w:p>
      <w:pPr>
        <w:pStyle w:val="1"/>
        <w:jc w:val="both"/>
      </w:pPr>
      <w:r>
        <w:rPr>
          <w:sz w:val="20"/>
        </w:rPr>
        <w:t xml:space="preserve">услуги по перевозке пассажиров автомобильным транспортом общего пользования</w:t>
      </w:r>
    </w:p>
    <w:p>
      <w:pPr>
        <w:pStyle w:val="1"/>
        <w:jc w:val="both"/>
      </w:pPr>
      <w:r>
        <w:rPr>
          <w:sz w:val="20"/>
        </w:rPr>
        <w:t xml:space="preserve">города Рязани.</w:t>
      </w:r>
    </w:p>
    <w:p>
      <w:pPr>
        <w:pStyle w:val="1"/>
        <w:jc w:val="both"/>
      </w:pPr>
      <w:r>
        <w:rPr>
          <w:sz w:val="20"/>
        </w:rPr>
        <w:t xml:space="preserve">    Настоящим подтверждаю, что ________________________ достигнуты значения</w:t>
      </w:r>
    </w:p>
    <w:p>
      <w:pPr>
        <w:pStyle w:val="1"/>
        <w:jc w:val="both"/>
      </w:pPr>
      <w:r>
        <w:rPr>
          <w:sz w:val="20"/>
        </w:rPr>
        <w:t xml:space="preserve">                          (наименование получателя субсидии)</w:t>
      </w:r>
    </w:p>
    <w:p>
      <w:pPr>
        <w:pStyle w:val="1"/>
        <w:jc w:val="both"/>
      </w:pPr>
      <w:r>
        <w:rPr>
          <w:sz w:val="20"/>
        </w:rPr>
        <w:t xml:space="preserve">результата  предоставления  субсидий,  что  подтверждается  приложенными  к</w:t>
      </w:r>
    </w:p>
    <w:p>
      <w:pPr>
        <w:pStyle w:val="1"/>
        <w:jc w:val="both"/>
      </w:pPr>
      <w:r>
        <w:rPr>
          <w:sz w:val="20"/>
        </w:rPr>
        <w:t xml:space="preserve">заявке документами.</w:t>
      </w:r>
    </w:p>
    <w:p>
      <w:pPr>
        <w:pStyle w:val="0"/>
        <w:jc w:val="both"/>
      </w:pPr>
      <w:r>
        <w:rPr>
          <w:sz w:val="20"/>
        </w:rPr>
      </w:r>
    </w:p>
    <w:p>
      <w:pPr>
        <w:pStyle w:val="0"/>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w:t>
      </w:r>
      <w:hyperlink w:history="0" w:anchor="P385" w:tooltip="ОТЧЕТ">
        <w:r>
          <w:rPr>
            <w:sz w:val="20"/>
            <w:color w:val="0000ff"/>
          </w:rPr>
          <w:t xml:space="preserve">Отчет</w:t>
        </w:r>
      </w:hyperlink>
      <w:r>
        <w:rPr>
          <w:sz w:val="20"/>
        </w:rPr>
        <w:t xml:space="preserve"> о достижении значений результата предоставления субсидий, по форме в соответствии с приложением N 4 к настоящему Порядку.</w:t>
      </w:r>
    </w:p>
    <w:p>
      <w:pPr>
        <w:pStyle w:val="0"/>
        <w:spacing w:before="200" w:line-rule="auto"/>
        <w:ind w:firstLine="540"/>
        <w:jc w:val="both"/>
      </w:pPr>
      <w:r>
        <w:rPr>
          <w:sz w:val="20"/>
        </w:rPr>
        <w:t xml:space="preserve">2. Аналитическая информация оператора РНИС по результатам мониторинга движения транспортных средств по </w:t>
      </w:r>
      <w:hyperlink w:history="0" r:id="rId45"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согласно приложению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3. Расчеты сумм недополученных доходов, связанных с предоставлением льгот по оплате проезда, по формам в соответствии с </w:t>
      </w:r>
      <w:hyperlink w:history="0" w:anchor="P469" w:tooltip="РАСЧЕТ">
        <w:r>
          <w:rPr>
            <w:sz w:val="20"/>
            <w:color w:val="0000ff"/>
          </w:rPr>
          <w:t xml:space="preserve">приложениями NN 5</w:t>
        </w:r>
      </w:hyperlink>
      <w:r>
        <w:rPr>
          <w:sz w:val="20"/>
        </w:rPr>
        <w:t xml:space="preserve">, </w:t>
      </w:r>
      <w:hyperlink w:history="0" w:anchor="P540"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4. Заявление о том, что на первое число месяца, в котором подана настоящая заявка,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5. Заявление о том, что на первое число месяца, в котором подана настоящая заявка,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6. Заявление о том, что на первое число месяца, в котором подана настоящая заявка, получатель субсидий не находится в составляемых в рамках реализации полномочий, предусмотренных </w:t>
      </w:r>
      <w:hyperlink w:history="0" r:id="rId4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7. Заявление о том, что на первое число месяца, в котором подана настоящая заявка,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4"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8. Заявление о том, что на первое число месяца, в котором подана настоящая заявка, получатель субсидий не является иностранным агентом в соответствии с Федеральным </w:t>
      </w:r>
      <w:hyperlink w:history="0" r:id="rId4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9. Заявление об отсутствии на первое число месяца, в котором подана настоящая заявка,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10. Заявление юридического лица о том, что на первое число месяца, в котором подана настоящая заявка,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11. Заявление индивидуального предпринимателя о том, что на первое число месяца, в котором подана настоящая заявка,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12.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13. Заверенные копии документов, подтверждающих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14.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настоящей заявки.</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385" w:name="P385"/>
    <w:bookmarkEnd w:id="385"/>
    <w:p>
      <w:pPr>
        <w:pStyle w:val="0"/>
        <w:jc w:val="center"/>
      </w:pPr>
      <w:r>
        <w:rPr>
          <w:sz w:val="20"/>
        </w:rPr>
        <w:t xml:space="preserve">ОТЧЕТ</w:t>
      </w:r>
    </w:p>
    <w:p>
      <w:pPr>
        <w:pStyle w:val="0"/>
        <w:jc w:val="center"/>
      </w:pPr>
      <w:r>
        <w:rPr>
          <w:sz w:val="20"/>
        </w:rPr>
        <w:t xml:space="preserve">о достижении значений результата предоставления субсидий,</w:t>
      </w:r>
    </w:p>
    <w:p>
      <w:pPr>
        <w:pStyle w:val="0"/>
        <w:jc w:val="center"/>
      </w:pPr>
      <w:r>
        <w:rPr>
          <w:sz w:val="20"/>
        </w:rPr>
        <w:t xml:space="preserve">а также характеристик результата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w:t>
      </w:r>
    </w:p>
    <w:p>
      <w:pPr>
        <w:pStyle w:val="0"/>
        <w:spacing w:before="200" w:line-rule="auto"/>
        <w:ind w:firstLine="540"/>
        <w:jc w:val="both"/>
      </w:pPr>
      <w:r>
        <w:rPr>
          <w:sz w:val="20"/>
        </w:rPr>
        <w:t xml:space="preserve">Период: 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9"/>
        <w:gridCol w:w="701"/>
        <w:gridCol w:w="1344"/>
        <w:gridCol w:w="917"/>
        <w:gridCol w:w="1077"/>
        <w:gridCol w:w="1267"/>
        <w:gridCol w:w="629"/>
        <w:gridCol w:w="634"/>
        <w:gridCol w:w="624"/>
        <w:gridCol w:w="643"/>
        <w:gridCol w:w="768"/>
      </w:tblGrid>
      <w:tr>
        <w:tc>
          <w:tcPr>
            <w:tcW w:w="1109" w:type="dxa"/>
          </w:tcPr>
          <w:p>
            <w:pPr>
              <w:pStyle w:val="0"/>
              <w:jc w:val="center"/>
            </w:pPr>
            <w:r>
              <w:rPr>
                <w:sz w:val="20"/>
              </w:rPr>
              <w:t xml:space="preserve">Маршрут</w:t>
            </w:r>
          </w:p>
        </w:tc>
        <w:tc>
          <w:tcPr>
            <w:gridSpan w:val="3"/>
            <w:tcW w:w="2962" w:type="dxa"/>
          </w:tcPr>
          <w:p>
            <w:pPr>
              <w:pStyle w:val="0"/>
              <w:jc w:val="center"/>
            </w:pPr>
            <w:r>
              <w:rPr>
                <w:sz w:val="20"/>
              </w:rPr>
              <w:t xml:space="preserve">Выполнено рейсов</w:t>
            </w:r>
          </w:p>
        </w:tc>
        <w:tc>
          <w:tcPr>
            <w:tcW w:w="1077" w:type="dxa"/>
          </w:tcPr>
          <w:p>
            <w:pPr>
              <w:pStyle w:val="0"/>
              <w:jc w:val="center"/>
            </w:pPr>
            <w:r>
              <w:rPr>
                <w:sz w:val="20"/>
              </w:rPr>
              <w:t xml:space="preserve">% выполнения</w:t>
            </w:r>
          </w:p>
        </w:tc>
        <w:tc>
          <w:tcPr>
            <w:tcW w:w="1267" w:type="dxa"/>
          </w:tcPr>
          <w:p>
            <w:pPr>
              <w:pStyle w:val="0"/>
              <w:jc w:val="center"/>
            </w:pPr>
            <w:r>
              <w:rPr>
                <w:sz w:val="20"/>
              </w:rPr>
              <w:t xml:space="preserve">Не выполнено рейсов</w:t>
            </w:r>
          </w:p>
        </w:tc>
        <w:tc>
          <w:tcPr>
            <w:gridSpan w:val="5"/>
            <w:tcW w:w="3298" w:type="dxa"/>
          </w:tcPr>
          <w:p>
            <w:pPr>
              <w:pStyle w:val="0"/>
              <w:jc w:val="center"/>
            </w:pPr>
            <w:r>
              <w:rPr>
                <w:sz w:val="20"/>
              </w:rPr>
              <w:t xml:space="preserve">Причина не выполнения рейсов</w:t>
            </w:r>
          </w:p>
        </w:tc>
      </w:tr>
      <w:tr>
        <w:tc>
          <w:tcPr>
            <w:tcW w:w="1109" w:type="dxa"/>
          </w:tcPr>
          <w:p>
            <w:pPr>
              <w:pStyle w:val="0"/>
            </w:pPr>
            <w:r>
              <w:rPr>
                <w:sz w:val="20"/>
              </w:rPr>
            </w:r>
          </w:p>
        </w:tc>
        <w:tc>
          <w:tcPr>
            <w:tcW w:w="701" w:type="dxa"/>
          </w:tcPr>
          <w:p>
            <w:pPr>
              <w:pStyle w:val="0"/>
              <w:jc w:val="center"/>
            </w:pPr>
            <w:r>
              <w:rPr>
                <w:sz w:val="20"/>
              </w:rPr>
              <w:t xml:space="preserve">План</w:t>
            </w:r>
          </w:p>
        </w:tc>
        <w:tc>
          <w:tcPr>
            <w:tcW w:w="1344" w:type="dxa"/>
          </w:tcPr>
          <w:p>
            <w:pPr>
              <w:pStyle w:val="0"/>
              <w:jc w:val="center"/>
            </w:pPr>
            <w:r>
              <w:rPr>
                <w:sz w:val="20"/>
              </w:rPr>
              <w:t xml:space="preserve">Скорректированный план</w:t>
            </w:r>
          </w:p>
        </w:tc>
        <w:tc>
          <w:tcPr>
            <w:tcW w:w="917" w:type="dxa"/>
          </w:tcPr>
          <w:p>
            <w:pPr>
              <w:pStyle w:val="0"/>
              <w:jc w:val="center"/>
            </w:pPr>
            <w:r>
              <w:rPr>
                <w:sz w:val="20"/>
              </w:rPr>
              <w:t xml:space="preserve">Факт</w:t>
            </w:r>
          </w:p>
        </w:tc>
        <w:tc>
          <w:tcPr>
            <w:tcW w:w="1077" w:type="dxa"/>
          </w:tcPr>
          <w:p>
            <w:pPr>
              <w:pStyle w:val="0"/>
            </w:pPr>
            <w:r>
              <w:rPr>
                <w:sz w:val="20"/>
              </w:rPr>
            </w:r>
          </w:p>
        </w:tc>
        <w:tc>
          <w:tcPr>
            <w:tcW w:w="1267" w:type="dxa"/>
          </w:tcPr>
          <w:p>
            <w:pPr>
              <w:pStyle w:val="0"/>
            </w:pPr>
            <w:r>
              <w:rPr>
                <w:sz w:val="20"/>
              </w:rPr>
            </w:r>
          </w:p>
        </w:tc>
        <w:tc>
          <w:tcPr>
            <w:tcW w:w="629" w:type="dxa"/>
          </w:tcPr>
          <w:p>
            <w:pPr>
              <w:pStyle w:val="0"/>
              <w:jc w:val="center"/>
            </w:pPr>
            <w:r>
              <w:rPr>
                <w:sz w:val="20"/>
              </w:rPr>
              <w:t xml:space="preserve">т/н</w:t>
            </w:r>
          </w:p>
        </w:tc>
        <w:tc>
          <w:tcPr>
            <w:tcW w:w="634" w:type="dxa"/>
          </w:tcPr>
          <w:p>
            <w:pPr>
              <w:pStyle w:val="0"/>
              <w:jc w:val="center"/>
            </w:pPr>
            <w:r>
              <w:rPr>
                <w:sz w:val="20"/>
              </w:rPr>
              <w:t xml:space="preserve">н/д</w:t>
            </w:r>
          </w:p>
        </w:tc>
        <w:tc>
          <w:tcPr>
            <w:tcW w:w="624" w:type="dxa"/>
          </w:tcPr>
          <w:p>
            <w:pPr>
              <w:pStyle w:val="0"/>
              <w:jc w:val="center"/>
            </w:pPr>
            <w:r>
              <w:rPr>
                <w:sz w:val="20"/>
              </w:rPr>
              <w:t xml:space="preserve">в/в</w:t>
            </w:r>
          </w:p>
        </w:tc>
        <w:tc>
          <w:tcPr>
            <w:tcW w:w="643" w:type="dxa"/>
          </w:tcPr>
          <w:p>
            <w:pPr>
              <w:pStyle w:val="0"/>
              <w:jc w:val="center"/>
            </w:pPr>
            <w:r>
              <w:rPr>
                <w:sz w:val="20"/>
              </w:rPr>
              <w:t xml:space="preserve">нет т.д.</w:t>
            </w:r>
          </w:p>
        </w:tc>
        <w:tc>
          <w:tcPr>
            <w:tcW w:w="768" w:type="dxa"/>
          </w:tcPr>
          <w:p>
            <w:pPr>
              <w:pStyle w:val="0"/>
              <w:jc w:val="center"/>
            </w:pPr>
            <w:r>
              <w:rPr>
                <w:sz w:val="20"/>
              </w:rPr>
              <w:t xml:space="preserve">изм. м</w:t>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vAlign w:val="bottom"/>
          </w:tcPr>
          <w:p>
            <w:pPr>
              <w:pStyle w:val="0"/>
              <w:jc w:val="right"/>
            </w:pPr>
            <w:r>
              <w:rPr>
                <w:sz w:val="20"/>
              </w:rPr>
              <w:t xml:space="preserve">Итого:</w:t>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bl>
    <w:p>
      <w:pPr>
        <w:pStyle w:val="0"/>
        <w:jc w:val="both"/>
      </w:pPr>
      <w:r>
        <w:rPr>
          <w:sz w:val="20"/>
        </w:rPr>
      </w:r>
    </w:p>
    <w:p>
      <w:pPr>
        <w:pStyle w:val="0"/>
        <w:ind w:firstLine="540"/>
        <w:jc w:val="both"/>
      </w:pPr>
      <w:r>
        <w:rPr>
          <w:sz w:val="20"/>
        </w:rPr>
        <w:t xml:space="preserve">Условные обозначения:</w:t>
      </w:r>
    </w:p>
    <w:p>
      <w:pPr>
        <w:pStyle w:val="0"/>
        <w:spacing w:before="200" w:line-rule="auto"/>
        <w:ind w:firstLine="540"/>
        <w:jc w:val="both"/>
      </w:pPr>
      <w:r>
        <w:rPr>
          <w:sz w:val="20"/>
        </w:rPr>
        <w:t xml:space="preserve">т/н - техническая неисправность;</w:t>
      </w:r>
    </w:p>
    <w:p>
      <w:pPr>
        <w:pStyle w:val="0"/>
        <w:spacing w:before="200" w:line-rule="auto"/>
        <w:ind w:firstLine="540"/>
        <w:jc w:val="both"/>
      </w:pPr>
      <w:r>
        <w:rPr>
          <w:sz w:val="20"/>
        </w:rPr>
        <w:t xml:space="preserve">н/д - недовыпуск на линию;</w:t>
      </w:r>
    </w:p>
    <w:p>
      <w:pPr>
        <w:pStyle w:val="0"/>
        <w:spacing w:before="200" w:line-rule="auto"/>
        <w:ind w:firstLine="540"/>
        <w:jc w:val="both"/>
      </w:pPr>
      <w:r>
        <w:rPr>
          <w:sz w:val="20"/>
        </w:rPr>
        <w:t xml:space="preserve">в/в - срыв рейса по вине водителя;</w:t>
      </w:r>
    </w:p>
    <w:p>
      <w:pPr>
        <w:pStyle w:val="0"/>
        <w:spacing w:before="200" w:line-rule="auto"/>
        <w:ind w:firstLine="540"/>
        <w:jc w:val="both"/>
      </w:pPr>
      <w:r>
        <w:rPr>
          <w:sz w:val="20"/>
        </w:rPr>
        <w:t xml:space="preserve">нет т.д. - нет телематических данных от абонентского терминала;</w:t>
      </w:r>
    </w:p>
    <w:p>
      <w:pPr>
        <w:pStyle w:val="0"/>
        <w:spacing w:before="200" w:line-rule="auto"/>
        <w:ind w:firstLine="540"/>
        <w:jc w:val="both"/>
      </w:pPr>
      <w:r>
        <w:rPr>
          <w:sz w:val="20"/>
        </w:rPr>
        <w:t xml:space="preserve">изм. м - транспортное средство следовало не по маршруту.</w:t>
      </w:r>
    </w:p>
    <w:p>
      <w:pPr>
        <w:pStyle w:val="0"/>
        <w:jc w:val="both"/>
      </w:pPr>
      <w:r>
        <w:rPr>
          <w:sz w:val="20"/>
        </w:rPr>
      </w:r>
    </w:p>
    <w:p>
      <w:pPr>
        <w:pStyle w:val="0"/>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______________ (Ф.И.О)</w:t>
      </w:r>
    </w:p>
    <w:p>
      <w:pPr>
        <w:pStyle w:val="0"/>
        <w:jc w:val="right"/>
      </w:pPr>
      <w:r>
        <w:rPr>
          <w:sz w:val="20"/>
        </w:rPr>
        <w:t xml:space="preserve">(подпись)</w:t>
      </w:r>
    </w:p>
    <w:p>
      <w:pPr>
        <w:pStyle w:val="0"/>
        <w:jc w:val="right"/>
      </w:pPr>
      <w:r>
        <w:rPr>
          <w:sz w:val="20"/>
        </w:rPr>
        <w:t xml:space="preserve">______________________</w:t>
      </w:r>
    </w:p>
    <w:p>
      <w:pPr>
        <w:pStyle w:val="0"/>
        <w:jc w:val="right"/>
      </w:pPr>
      <w:r>
        <w:rPr>
          <w:sz w:val="20"/>
        </w:rPr>
        <w:t xml:space="preserve">(дата)</w:t>
      </w:r>
    </w:p>
    <w:p>
      <w:pPr>
        <w:pStyle w:val="0"/>
        <w:jc w:val="both"/>
      </w:pPr>
      <w:r>
        <w:rPr>
          <w:sz w:val="20"/>
        </w:rPr>
      </w:r>
    </w:p>
    <w:bookmarkStart w:id="469" w:name="P469"/>
    <w:bookmarkEnd w:id="469"/>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w:t>
      </w:r>
    </w:p>
    <w:p>
      <w:pPr>
        <w:pStyle w:val="0"/>
        <w:spacing w:before="200" w:line-rule="auto"/>
        <w:ind w:firstLine="540"/>
        <w:jc w:val="both"/>
      </w:pPr>
      <w:r>
        <w:rPr>
          <w:sz w:val="20"/>
        </w:rPr>
        <w:t xml:space="preserve">Период: 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9"/>
        <w:gridCol w:w="1579"/>
        <w:gridCol w:w="1579"/>
        <w:gridCol w:w="964"/>
        <w:gridCol w:w="1579"/>
        <w:gridCol w:w="1849"/>
      </w:tblGrid>
      <w:tr>
        <w:tc>
          <w:tcPr>
            <w:tcW w:w="2269"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ЕЦК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"Льготная", ЕЦК в отчетном месяце, руб.</w:t>
            </w:r>
          </w:p>
        </w:tc>
        <w:tc>
          <w:tcPr>
            <w:gridSpan w:val="2"/>
            <w:tcW w:w="2543" w:type="dxa"/>
          </w:tcPr>
          <w:p>
            <w:pPr>
              <w:pStyle w:val="0"/>
              <w:jc w:val="center"/>
            </w:pPr>
            <w:r>
              <w:rPr>
                <w:sz w:val="20"/>
              </w:rPr>
              <w:t xml:space="preserve">Расходы по установленному тарифу</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"Льготная", ЕЦК в отчетном месяце, руб. (гр. 2 x гр. 4)</w:t>
            </w:r>
          </w:p>
        </w:tc>
        <w:tc>
          <w:tcPr>
            <w:vMerge w:val="continue"/>
          </w:tcPr>
          <w:p/>
        </w:tc>
      </w:tr>
      <w:tr>
        <w:tc>
          <w:tcPr>
            <w:tcW w:w="2269" w:type="dxa"/>
          </w:tcPr>
          <w:p>
            <w:pPr>
              <w:pStyle w:val="0"/>
            </w:pPr>
            <w:r>
              <w:rPr>
                <w:sz w:val="20"/>
              </w:rPr>
              <w:t xml:space="preserve">1. Граждане, получающие пенсию из Фонда пенсионного и социального страхования Российской Федерации либо достигшие возврата 60 лет для мужчин и 55 лет для женщин, зарегистрированные по месту жительства или месту пребывания в городе Рязани, в том числе в поселке Солотча,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3. Вдовы участников ликвидации последствий катастрофы на Чернобыльской АЭС,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Всего, в том числе</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tcPr>
          <w:p>
            <w:pPr>
              <w:pStyle w:val="0"/>
            </w:pPr>
            <w:r>
              <w:rPr>
                <w:sz w:val="20"/>
              </w:rPr>
              <w:t xml:space="preserve">- за счет лимитов бюджетных обязательств текущего финансового года</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269" w:type="dxa"/>
            <w:vAlign w:val="center"/>
          </w:tcPr>
          <w:p>
            <w:pPr>
              <w:pStyle w:val="0"/>
              <w:jc w:val="both"/>
            </w:pPr>
            <w:r>
              <w:rPr>
                <w:sz w:val="20"/>
              </w:rPr>
              <w:t xml:space="preserve">-</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 (Ф.И.О)</w:t>
      </w:r>
    </w:p>
    <w:p>
      <w:pPr>
        <w:pStyle w:val="0"/>
        <w:jc w:val="right"/>
      </w:pPr>
      <w:r>
        <w:rPr>
          <w:sz w:val="20"/>
        </w:rPr>
        <w:t xml:space="preserve">(подпись)</w:t>
      </w:r>
    </w:p>
    <w:p>
      <w:pPr>
        <w:pStyle w:val="0"/>
        <w:jc w:val="right"/>
      </w:pPr>
      <w:r>
        <w:rPr>
          <w:sz w:val="20"/>
        </w:rPr>
        <w:t xml:space="preserve">_____________________</w:t>
      </w:r>
    </w:p>
    <w:p>
      <w:pPr>
        <w:pStyle w:val="0"/>
        <w:jc w:val="right"/>
      </w:pPr>
      <w:r>
        <w:rPr>
          <w:sz w:val="20"/>
        </w:rPr>
        <w:t xml:space="preserve">(дата)</w:t>
      </w:r>
    </w:p>
    <w:p>
      <w:pPr>
        <w:pStyle w:val="0"/>
        <w:jc w:val="both"/>
      </w:pPr>
      <w:r>
        <w:rPr>
          <w:sz w:val="20"/>
        </w:rPr>
      </w:r>
    </w:p>
    <w:bookmarkStart w:id="540" w:name="P540"/>
    <w:bookmarkEnd w:id="540"/>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w:t>
      </w:r>
    </w:p>
    <w:p>
      <w:pPr>
        <w:pStyle w:val="0"/>
        <w:spacing w:before="200" w:line-rule="auto"/>
        <w:ind w:firstLine="540"/>
        <w:jc w:val="both"/>
      </w:pPr>
      <w:r>
        <w:rPr>
          <w:sz w:val="20"/>
        </w:rPr>
        <w:t xml:space="preserve">Период: 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714"/>
        <w:gridCol w:w="1714"/>
        <w:gridCol w:w="964"/>
        <w:gridCol w:w="1714"/>
        <w:gridCol w:w="1474"/>
      </w:tblGrid>
      <w:tr>
        <w:tc>
          <w:tcPr>
            <w:tcW w:w="1414" w:type="dxa"/>
            <w:vMerge w:val="restart"/>
          </w:tcPr>
          <w:p>
            <w:pPr>
              <w:pStyle w:val="0"/>
              <w:jc w:val="center"/>
            </w:pPr>
            <w:r>
              <w:rPr>
                <w:sz w:val="20"/>
              </w:rPr>
              <w:t xml:space="preserve">Льготные категории граждан</w:t>
            </w:r>
          </w:p>
        </w:tc>
        <w:tc>
          <w:tcPr>
            <w:tcW w:w="1714" w:type="dxa"/>
            <w:vMerge w:val="restart"/>
          </w:tcPr>
          <w:p>
            <w:pPr>
              <w:pStyle w:val="0"/>
              <w:jc w:val="center"/>
            </w:pPr>
            <w:r>
              <w:rPr>
                <w:sz w:val="20"/>
              </w:rPr>
              <w:t xml:space="preserve">Общее кол-во поездок в транспортных средствах получателя субсидии, фактически оплаченных с помощью транспортных карт "Школьная", "Студенческая", ЕЦК в отчетном месяце, ед.</w:t>
            </w:r>
          </w:p>
        </w:tc>
        <w:tc>
          <w:tcPr>
            <w:tcW w:w="1714" w:type="dxa"/>
            <w:vMerge w:val="restart"/>
          </w:tcPr>
          <w:p>
            <w:pPr>
              <w:pStyle w:val="0"/>
              <w:jc w:val="center"/>
            </w:pPr>
            <w:r>
              <w:rPr>
                <w:sz w:val="20"/>
              </w:rPr>
              <w:t xml:space="preserve">Доходы, полученные от пополнения баланса транспортных карт "Школьная", "Студенческая", ЕЦК в отчетном месяце, руб.</w:t>
            </w:r>
          </w:p>
        </w:tc>
        <w:tc>
          <w:tcPr>
            <w:gridSpan w:val="2"/>
            <w:tcW w:w="2678" w:type="dxa"/>
          </w:tcPr>
          <w:p>
            <w:pPr>
              <w:pStyle w:val="0"/>
              <w:jc w:val="center"/>
            </w:pPr>
            <w:r>
              <w:rPr>
                <w:sz w:val="20"/>
              </w:rPr>
              <w:t xml:space="preserve">Расходы по установленному тарифу</w:t>
            </w:r>
          </w:p>
        </w:tc>
        <w:tc>
          <w:tcPr>
            <w:tcW w:w="1474"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714" w:type="dxa"/>
          </w:tcPr>
          <w:p>
            <w:pPr>
              <w:pStyle w:val="0"/>
              <w:jc w:val="center"/>
            </w:pPr>
            <w:r>
              <w:rPr>
                <w:sz w:val="20"/>
              </w:rPr>
              <w:t xml:space="preserve">По общему кол-ву поездок фактически оплаченных с помощью транспортных карт "Школьная", "Студенческая", ЕЦК в отчетном месяце, руб. (гр. 4 x гр. 2)</w:t>
            </w:r>
          </w:p>
        </w:tc>
        <w:tc>
          <w:tcPr>
            <w:vMerge w:val="continue"/>
          </w:tcPr>
          <w:p/>
        </w:tc>
      </w:tr>
      <w:tr>
        <w:tc>
          <w:tcPr>
            <w:tcW w:w="1414" w:type="dxa"/>
          </w:tcPr>
          <w:p>
            <w:pPr>
              <w:pStyle w:val="0"/>
              <w:jc w:val="center"/>
            </w:pPr>
            <w:r>
              <w:rPr>
                <w:sz w:val="20"/>
              </w:rPr>
              <w:t xml:space="preserve">1</w:t>
            </w:r>
          </w:p>
        </w:tc>
        <w:tc>
          <w:tcPr>
            <w:tcW w:w="1714" w:type="dxa"/>
          </w:tcPr>
          <w:p>
            <w:pPr>
              <w:pStyle w:val="0"/>
              <w:jc w:val="center"/>
            </w:pPr>
            <w:r>
              <w:rPr>
                <w:sz w:val="20"/>
              </w:rPr>
              <w:t xml:space="preserve">2</w:t>
            </w:r>
          </w:p>
        </w:tc>
        <w:tc>
          <w:tcPr>
            <w:tcW w:w="1714" w:type="dxa"/>
          </w:tcPr>
          <w:p>
            <w:pPr>
              <w:pStyle w:val="0"/>
              <w:jc w:val="center"/>
            </w:pPr>
            <w:r>
              <w:rPr>
                <w:sz w:val="20"/>
              </w:rPr>
              <w:t xml:space="preserve">3</w:t>
            </w:r>
          </w:p>
        </w:tc>
        <w:tc>
          <w:tcPr>
            <w:tcW w:w="964" w:type="dxa"/>
          </w:tcPr>
          <w:p>
            <w:pPr>
              <w:pStyle w:val="0"/>
              <w:jc w:val="center"/>
            </w:pPr>
            <w:r>
              <w:rPr>
                <w:sz w:val="20"/>
              </w:rPr>
              <w:t xml:space="preserve">4</w:t>
            </w:r>
          </w:p>
        </w:tc>
        <w:tc>
          <w:tcPr>
            <w:tcW w:w="1714" w:type="dxa"/>
          </w:tcPr>
          <w:p>
            <w:pPr>
              <w:pStyle w:val="0"/>
              <w:jc w:val="center"/>
            </w:pPr>
            <w:r>
              <w:rPr>
                <w:sz w:val="20"/>
              </w:rPr>
              <w:t xml:space="preserve">5</w:t>
            </w:r>
          </w:p>
        </w:tc>
        <w:tc>
          <w:tcPr>
            <w:tcW w:w="1474" w:type="dxa"/>
          </w:tcPr>
          <w:p>
            <w:pPr>
              <w:pStyle w:val="0"/>
              <w:jc w:val="center"/>
            </w:pPr>
            <w:r>
              <w:rPr>
                <w:sz w:val="20"/>
              </w:rPr>
              <w:t xml:space="preserve">6</w:t>
            </w:r>
          </w:p>
        </w:tc>
      </w:tr>
      <w:tr>
        <w:tc>
          <w:tcPr>
            <w:tcW w:w="1414" w:type="dxa"/>
          </w:tcPr>
          <w:p>
            <w:pPr>
              <w:pStyle w:val="0"/>
            </w:pPr>
            <w:r>
              <w:rPr>
                <w:sz w:val="20"/>
              </w:rPr>
              <w:t xml:space="preserve">студенты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Итого</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 (Ф.И.О)</w:t>
      </w:r>
    </w:p>
    <w:p>
      <w:pPr>
        <w:pStyle w:val="0"/>
        <w:jc w:val="right"/>
      </w:pPr>
      <w:r>
        <w:rPr>
          <w:sz w:val="20"/>
        </w:rPr>
        <w:t xml:space="preserve">(подпись)</w:t>
      </w:r>
    </w:p>
    <w:p>
      <w:pPr>
        <w:pStyle w:val="0"/>
        <w:jc w:val="right"/>
      </w:pPr>
      <w:r>
        <w:rPr>
          <w:sz w:val="20"/>
        </w:rPr>
        <w:t xml:space="preserve">_______________</w:t>
      </w:r>
    </w:p>
    <w:p>
      <w:pPr>
        <w:pStyle w:val="0"/>
        <w:jc w:val="right"/>
      </w:pPr>
      <w:r>
        <w:rPr>
          <w:sz w:val="20"/>
        </w:rPr>
        <w:t xml:space="preserve">(дата)</w:t>
      </w:r>
    </w:p>
    <w:p>
      <w:pPr>
        <w:pStyle w:val="0"/>
        <w:jc w:val="both"/>
      </w:pPr>
      <w:r>
        <w:rPr>
          <w:sz w:val="20"/>
        </w:rPr>
      </w:r>
    </w:p>
    <w:bookmarkStart w:id="622" w:name="P622"/>
    <w:bookmarkEnd w:id="622"/>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w:t>
      </w:r>
    </w:p>
    <w:p>
      <w:pPr>
        <w:pStyle w:val="0"/>
        <w:jc w:val="center"/>
      </w:pPr>
      <w:r>
        <w:rPr>
          <w:sz w:val="20"/>
        </w:rPr>
        <w:t xml:space="preserve">доходов, связанных с предоставлением льгот по оплате проезда</w:t>
      </w:r>
    </w:p>
    <w:p>
      <w:pPr>
        <w:pStyle w:val="0"/>
        <w:jc w:val="center"/>
      </w:pPr>
      <w:r>
        <w:rPr>
          <w:sz w:val="20"/>
        </w:rPr>
        <w:t xml:space="preserve">за 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5046"/>
        <w:gridCol w:w="3402"/>
      </w:tblGrid>
      <w:tr>
        <w:tc>
          <w:tcPr>
            <w:tcW w:w="571" w:type="dxa"/>
          </w:tcPr>
          <w:p>
            <w:pPr>
              <w:pStyle w:val="0"/>
              <w:jc w:val="center"/>
            </w:pPr>
            <w:r>
              <w:rPr>
                <w:sz w:val="20"/>
              </w:rPr>
              <w:t xml:space="preserve">NN пп</w:t>
            </w:r>
          </w:p>
        </w:tc>
        <w:tc>
          <w:tcPr>
            <w:tcW w:w="5046" w:type="dxa"/>
          </w:tcPr>
          <w:p>
            <w:pPr>
              <w:pStyle w:val="0"/>
              <w:jc w:val="center"/>
            </w:pPr>
            <w:r>
              <w:rPr>
                <w:sz w:val="20"/>
              </w:rPr>
              <w:t xml:space="preserve">Наименование получателя субсидии</w:t>
            </w:r>
          </w:p>
        </w:tc>
        <w:tc>
          <w:tcPr>
            <w:tcW w:w="3402" w:type="dxa"/>
          </w:tcPr>
          <w:p>
            <w:pPr>
              <w:pStyle w:val="0"/>
              <w:jc w:val="center"/>
            </w:pPr>
            <w:r>
              <w:rPr>
                <w:sz w:val="20"/>
              </w:rPr>
              <w:t xml:space="preserve">Сумма субсидии, подлежащая выплате, руб.</w:t>
            </w:r>
          </w:p>
        </w:tc>
      </w:tr>
      <w:tr>
        <w:tc>
          <w:tcPr>
            <w:tcW w:w="571" w:type="dxa"/>
          </w:tcPr>
          <w:p>
            <w:pPr>
              <w:pStyle w:val="0"/>
              <w:jc w:val="center"/>
            </w:pPr>
            <w:r>
              <w:rPr>
                <w:sz w:val="20"/>
              </w:rPr>
              <w:t xml:space="preserve">1</w:t>
            </w:r>
          </w:p>
        </w:tc>
        <w:tc>
          <w:tcPr>
            <w:tcW w:w="5046" w:type="dxa"/>
          </w:tcPr>
          <w:p>
            <w:pPr>
              <w:pStyle w:val="0"/>
              <w:jc w:val="center"/>
            </w:pPr>
            <w:r>
              <w:rPr>
                <w:sz w:val="20"/>
              </w:rPr>
              <w:t xml:space="preserve">2</w:t>
            </w:r>
          </w:p>
        </w:tc>
        <w:tc>
          <w:tcPr>
            <w:tcW w:w="3402" w:type="dxa"/>
          </w:tcPr>
          <w:p>
            <w:pPr>
              <w:pStyle w:val="0"/>
              <w:jc w:val="center"/>
            </w:pPr>
            <w:r>
              <w:rPr>
                <w:sz w:val="20"/>
              </w:rPr>
              <w:t xml:space="preserve">3</w:t>
            </w:r>
          </w:p>
        </w:tc>
      </w:tr>
      <w:tr>
        <w:tc>
          <w:tcPr>
            <w:tcW w:w="571" w:type="dxa"/>
          </w:tcPr>
          <w:p>
            <w:pPr>
              <w:pStyle w:val="0"/>
              <w:jc w:val="center"/>
            </w:pPr>
            <w:r>
              <w:rPr>
                <w:sz w:val="20"/>
              </w:rPr>
              <w:t xml:space="preserve">1.</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2.</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w:t>
            </w:r>
          </w:p>
        </w:tc>
        <w:tc>
          <w:tcPr>
            <w:tcW w:w="5046" w:type="dxa"/>
          </w:tcPr>
          <w:p>
            <w:pPr>
              <w:pStyle w:val="0"/>
            </w:pPr>
            <w:r>
              <w:rPr>
                <w:sz w:val="20"/>
              </w:rPr>
            </w:r>
          </w:p>
        </w:tc>
        <w:tc>
          <w:tcPr>
            <w:tcW w:w="3402" w:type="dxa"/>
          </w:tcPr>
          <w:p>
            <w:pPr>
              <w:pStyle w:val="0"/>
            </w:pPr>
            <w:r>
              <w:rPr>
                <w:sz w:val="20"/>
              </w:rPr>
            </w:r>
          </w:p>
        </w:tc>
      </w:tr>
      <w:tr>
        <w:tc>
          <w:tcPr>
            <w:tcW w:w="571" w:type="dxa"/>
          </w:tcPr>
          <w:p>
            <w:pPr>
              <w:pStyle w:val="0"/>
            </w:pPr>
            <w:r>
              <w:rPr>
                <w:sz w:val="20"/>
              </w:rPr>
            </w:r>
          </w:p>
        </w:tc>
        <w:tc>
          <w:tcPr>
            <w:tcW w:w="5046" w:type="dxa"/>
          </w:tcPr>
          <w:p>
            <w:pPr>
              <w:pStyle w:val="0"/>
              <w:jc w:val="center"/>
            </w:pPr>
            <w:r>
              <w:rPr>
                <w:sz w:val="20"/>
              </w:rPr>
              <w:t xml:space="preserve">Итого</w:t>
            </w:r>
          </w:p>
        </w:tc>
        <w:tc>
          <w:tcPr>
            <w:tcW w:w="3402"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Начальнику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t xml:space="preserve">    _____________________________ (Ф.И.О.) ________________________________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16600</w:t>
            <w:br/>
            <w:t>(ред. от 27.02.2024, с изм. от 29.02.2024)</w:t>
            <w:br/>
            <w:t>"Об утвержден...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48&amp;dst=100005" TargetMode = "External"/>
	<Relationship Id="rId8" Type="http://schemas.openxmlformats.org/officeDocument/2006/relationships/hyperlink" Target="https://login.consultant.ru/link/?req=doc&amp;base=RLAW073&amp;n=435366&amp;dst=100006" TargetMode = "External"/>
	<Relationship Id="rId9" Type="http://schemas.openxmlformats.org/officeDocument/2006/relationships/hyperlink" Target="https://login.consultant.ru/link/?req=doc&amp;base=LAW&amp;n=479341&amp;dst=103400" TargetMode = "External"/>
	<Relationship Id="rId10" Type="http://schemas.openxmlformats.org/officeDocument/2006/relationships/hyperlink" Target="https://login.consultant.ru/link/?req=doc&amp;base=RLAW073&amp;n=434060&amp;dst=100072" TargetMode = "External"/>
	<Relationship Id="rId11" Type="http://schemas.openxmlformats.org/officeDocument/2006/relationships/hyperlink" Target="https://login.consultant.ru/link/?req=doc&amp;base=LAW&amp;n=461663&amp;dst=100019" TargetMode = "External"/>
	<Relationship Id="rId12" Type="http://schemas.openxmlformats.org/officeDocument/2006/relationships/hyperlink" Target="https://login.consultant.ru/link/?req=doc&amp;base=RLAW073&amp;n=408069&amp;dst=100486" TargetMode = "External"/>
	<Relationship Id="rId13" Type="http://schemas.openxmlformats.org/officeDocument/2006/relationships/hyperlink" Target="https://login.consultant.ru/link/?req=doc&amp;base=RLAW073&amp;n=408069&amp;dst=100613" TargetMode = "External"/>
	<Relationship Id="rId14" Type="http://schemas.openxmlformats.org/officeDocument/2006/relationships/hyperlink" Target="https://login.consultant.ru/link/?req=doc&amp;base=RLAW073&amp;n=424248&amp;dst=100005" TargetMode = "External"/>
	<Relationship Id="rId15" Type="http://schemas.openxmlformats.org/officeDocument/2006/relationships/hyperlink" Target="https://login.consultant.ru/link/?req=doc&amp;base=RLAW073&amp;n=435366&amp;dst=100006" TargetMode = "External"/>
	<Relationship Id="rId16" Type="http://schemas.openxmlformats.org/officeDocument/2006/relationships/hyperlink" Target="https://login.consultant.ru/link/?req=doc&amp;base=RLAW073&amp;n=433723&amp;dst=100036" TargetMode = "External"/>
	<Relationship Id="rId17" Type="http://schemas.openxmlformats.org/officeDocument/2006/relationships/hyperlink" Target="https://login.consultant.ru/link/?req=doc&amp;base=RLAW073&amp;n=433723&amp;dst=106506" TargetMode = "External"/>
	<Relationship Id="rId18" Type="http://schemas.openxmlformats.org/officeDocument/2006/relationships/hyperlink" Target="https://login.consultant.ru/link/?req=doc&amp;base=RLAW073&amp;n=424248&amp;dst=100012" TargetMode = "External"/>
	<Relationship Id="rId19" Type="http://schemas.openxmlformats.org/officeDocument/2006/relationships/hyperlink" Target="https://login.consultant.ru/link/?req=doc&amp;base=LAW&amp;n=121087&amp;dst=100142" TargetMode = "External"/>
	<Relationship Id="rId20" Type="http://schemas.openxmlformats.org/officeDocument/2006/relationships/hyperlink" Target="https://login.consultant.ru/link/?req=doc&amp;base=LAW&amp;n=465999" TargetMode = "External"/>
	<Relationship Id="rId21" Type="http://schemas.openxmlformats.org/officeDocument/2006/relationships/hyperlink" Target="https://login.consultant.ru/link/?req=doc&amp;base=RLAW073&amp;n=433432&amp;dst=100006" TargetMode = "External"/>
	<Relationship Id="rId22" Type="http://schemas.openxmlformats.org/officeDocument/2006/relationships/hyperlink" Target="https://login.consultant.ru/link/?req=doc&amp;base=LAW&amp;n=121087&amp;dst=100142" TargetMode = "External"/>
	<Relationship Id="rId23" Type="http://schemas.openxmlformats.org/officeDocument/2006/relationships/hyperlink" Target="https://login.consultant.ru/link/?req=doc&amp;base=LAW&amp;n=465999" TargetMode = "External"/>
	<Relationship Id="rId24" Type="http://schemas.openxmlformats.org/officeDocument/2006/relationships/hyperlink" Target="https://login.consultant.ru/link/?req=doc&amp;base=RLAW073&amp;n=333249&amp;dst=100014" TargetMode = "External"/>
	<Relationship Id="rId25" Type="http://schemas.openxmlformats.org/officeDocument/2006/relationships/hyperlink" Target="https://login.consultant.ru/link/?req=doc&amp;base=LAW&amp;n=479341&amp;dst=3704" TargetMode = "External"/>
	<Relationship Id="rId26" Type="http://schemas.openxmlformats.org/officeDocument/2006/relationships/hyperlink" Target="https://login.consultant.ru/link/?req=doc&amp;base=LAW&amp;n=479341&amp;dst=3722" TargetMode = "External"/>
	<Relationship Id="rId27" Type="http://schemas.openxmlformats.org/officeDocument/2006/relationships/hyperlink" Target="https://login.consultant.ru/link/?req=doc&amp;base=RLAW073&amp;n=433432&amp;dst=100006" TargetMode = "External"/>
	<Relationship Id="rId28" Type="http://schemas.openxmlformats.org/officeDocument/2006/relationships/hyperlink" Target="https://login.consultant.ru/link/?req=doc&amp;base=RLAW073&amp;n=433432&amp;dst=100006" TargetMode = "External"/>
	<Relationship Id="rId29" Type="http://schemas.openxmlformats.org/officeDocument/2006/relationships/hyperlink" Target="https://login.consultant.ru/link/?req=doc&amp;base=RLAW073&amp;n=413723&amp;dst=100212" TargetMode = "External"/>
	<Relationship Id="rId30" Type="http://schemas.openxmlformats.org/officeDocument/2006/relationships/hyperlink" Target="https://login.consultant.ru/link/?req=doc&amp;base=LAW&amp;n=121087&amp;dst=100142" TargetMode = "External"/>
	<Relationship Id="rId31" Type="http://schemas.openxmlformats.org/officeDocument/2006/relationships/hyperlink" Target="https://login.consultant.ru/link/?req=doc&amp;base=LAW&amp;n=465999" TargetMode = "External"/>
	<Relationship Id="rId32" Type="http://schemas.openxmlformats.org/officeDocument/2006/relationships/hyperlink" Target="https://login.consultant.ru/link/?req=doc&amp;base=RLAW073&amp;n=401348&amp;dst=100136" TargetMode = "External"/>
	<Relationship Id="rId33" Type="http://schemas.openxmlformats.org/officeDocument/2006/relationships/hyperlink" Target="https://login.consultant.ru/link/?req=doc&amp;base=RLAW073&amp;n=401348&amp;dst=100081" TargetMode = "External"/>
	<Relationship Id="rId34" Type="http://schemas.openxmlformats.org/officeDocument/2006/relationships/hyperlink" Target="https://login.consultant.ru/link/?req=doc&amp;base=RLAW073&amp;n=401348&amp;dst=100175" TargetMode = "External"/>
	<Relationship Id="rId35" Type="http://schemas.openxmlformats.org/officeDocument/2006/relationships/hyperlink" Target="https://login.consultant.ru/link/?req=doc&amp;base=RLAW073&amp;n=401348&amp;dst=100192" TargetMode = "External"/>
	<Relationship Id="rId36" Type="http://schemas.openxmlformats.org/officeDocument/2006/relationships/hyperlink" Target="https://login.consultant.ru/link/?req=doc&amp;base=RLAW073&amp;n=401348&amp;dst=100216" TargetMode = "External"/>
	<Relationship Id="rId37" Type="http://schemas.openxmlformats.org/officeDocument/2006/relationships/hyperlink" Target="https://login.consultant.ru/link/?req=doc&amp;base=RLAW073&amp;n=424248&amp;dst=100015" TargetMode = "External"/>
	<Relationship Id="rId38" Type="http://schemas.openxmlformats.org/officeDocument/2006/relationships/hyperlink" Target="https://login.consultant.ru/link/?req=doc&amp;base=RLAW073&amp;n=433432&amp;dst=100006" TargetMode = "External"/>
	<Relationship Id="rId39" Type="http://schemas.openxmlformats.org/officeDocument/2006/relationships/hyperlink" Target="https://login.consultant.ru/link/?req=doc&amp;base=RLAW073&amp;n=433432&amp;dst=100006" TargetMode = "External"/>
	<Relationship Id="rId40" Type="http://schemas.openxmlformats.org/officeDocument/2006/relationships/hyperlink" Target="https://login.consultant.ru/link/?req=doc&amp;base=RLAW073&amp;n=433432&amp;dst=100006" TargetMode = "External"/>
	<Relationship Id="rId41" Type="http://schemas.openxmlformats.org/officeDocument/2006/relationships/hyperlink" Target="https://login.consultant.ru/link/?req=doc&amp;base=LAW&amp;n=479341&amp;dst=3704" TargetMode = "External"/>
	<Relationship Id="rId42" Type="http://schemas.openxmlformats.org/officeDocument/2006/relationships/hyperlink" Target="https://login.consultant.ru/link/?req=doc&amp;base=LAW&amp;n=479341&amp;dst=3722" TargetMode = "External"/>
	<Relationship Id="rId43" Type="http://schemas.openxmlformats.org/officeDocument/2006/relationships/hyperlink" Target="https://login.consultant.ru/link/?req=doc&amp;base=LAW&amp;n=121087&amp;dst=100142" TargetMode = "External"/>
	<Relationship Id="rId44" Type="http://schemas.openxmlformats.org/officeDocument/2006/relationships/hyperlink" Target="https://login.consultant.ru/link/?req=doc&amp;base=LAW&amp;n=465999" TargetMode = "External"/>
	<Relationship Id="rId45" Type="http://schemas.openxmlformats.org/officeDocument/2006/relationships/hyperlink" Target="https://login.consultant.ru/link/?req=doc&amp;base=RLAW073&amp;n=413723&amp;dst=100212" TargetMode = "External"/>
	<Relationship Id="rId46" Type="http://schemas.openxmlformats.org/officeDocument/2006/relationships/hyperlink" Target="https://login.consultant.ru/link/?req=doc&amp;base=LAW&amp;n=121087&amp;dst=100142" TargetMode = "External"/>
	<Relationship Id="rId47" Type="http://schemas.openxmlformats.org/officeDocument/2006/relationships/hyperlink" Target="https://login.consultant.ru/link/?req=doc&amp;base=LAW&amp;n=4659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27.12.2023 N 16600
(ред. от 27.02.2024, с изм. от 29.02.2024)
"Об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dc:title>
  <dcterms:created xsi:type="dcterms:W3CDTF">2024-07-08T09:05:32Z</dcterms:created>
</cp:coreProperties>
</file>