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РЯЗАНСКАЯ ГОРОДСКАЯ ДУМА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23 ноября 2017 г. N 418-II</w:t>
      </w:r>
    </w:p>
    <w:p>
      <w:pPr>
        <w:pStyle w:val="2"/>
        <w:jc w:val="center"/>
      </w:pPr>
      <w:r>
        <w:rPr>
          <w:sz w:val="20"/>
        </w:rPr>
      </w:r>
    </w:p>
    <w:p>
      <w:pPr>
        <w:pStyle w:val="2"/>
        <w:jc w:val="center"/>
      </w:pPr>
      <w:r>
        <w:rPr>
          <w:sz w:val="20"/>
        </w:rPr>
        <w:t xml:space="preserve">ОБ УСТАНОВЛЕНИИ ДОПОЛНИТЕЛЬНЫХ МЕР СОЦИАЛЬНОЙ ПОДДЕРЖКИ</w:t>
      </w:r>
    </w:p>
    <w:p>
      <w:pPr>
        <w:pStyle w:val="2"/>
        <w:jc w:val="center"/>
      </w:pPr>
      <w:r>
        <w:rPr>
          <w:sz w:val="20"/>
        </w:rPr>
        <w:t xml:space="preserve">И СОЦИАЛЬНОЙ ПОМОЩИ ОТДЕЛЬНЫМ КАТЕГОРИЯМ ГРАЖДАН ПО ПОЛНОМУ</w:t>
      </w:r>
    </w:p>
    <w:p>
      <w:pPr>
        <w:pStyle w:val="2"/>
        <w:jc w:val="center"/>
      </w:pPr>
      <w:r>
        <w:rPr>
          <w:sz w:val="20"/>
        </w:rPr>
        <w:t xml:space="preserve">ИЛИ ЧАСТИЧНОМУ ОСВОБОЖДЕНИЮ ОТ ПЛАТЫ ЗА УСЛУГИ ПО ПЕРЕВОЗКЕ</w:t>
      </w:r>
    </w:p>
    <w:p>
      <w:pPr>
        <w:pStyle w:val="2"/>
        <w:jc w:val="center"/>
      </w:pPr>
      <w:r>
        <w:rPr>
          <w:sz w:val="20"/>
        </w:rPr>
        <w:t xml:space="preserve">ПАССАЖИРОВ АВТОМОБИЛЬНЫМ И НАЗЕМНЫМ ЭЛЕКТРИЧЕСКИМ</w:t>
      </w:r>
    </w:p>
    <w:p>
      <w:pPr>
        <w:pStyle w:val="2"/>
        <w:jc w:val="center"/>
      </w:pPr>
      <w:r>
        <w:rPr>
          <w:sz w:val="20"/>
        </w:rPr>
        <w:t xml:space="preserve">ТРАНСПОРТОМ ОБЩЕГО ПОЛЬЗОВАНИЯ ГОРОДА РЯЗАНИ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Рязанской городской Думы</w:t>
            </w:r>
          </w:p>
          <w:p>
            <w:pPr>
              <w:pStyle w:val="0"/>
              <w:jc w:val="center"/>
            </w:pPr>
            <w:r>
              <w:rPr>
                <w:sz w:val="20"/>
                <w:color w:val="392c69"/>
              </w:rPr>
              <w:t xml:space="preserve">от 25.12.2018 </w:t>
            </w:r>
            <w:hyperlink w:history="0" r:id="rId6" w:tooltip="Решение Рязанской городской Думы от 25.12.2018 N 135-III &quot;О внесении изменений в решение Рязанской городской Думы от 23.11.2017 N 418-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N 135-III</w:t>
              </w:r>
            </w:hyperlink>
            <w:r>
              <w:rPr>
                <w:sz w:val="20"/>
                <w:color w:val="392c69"/>
              </w:rPr>
              <w:t xml:space="preserve">, от 21.02.2019 </w:t>
            </w:r>
            <w:hyperlink w:history="0" r:id="rId7" w:tooltip="Решение Рязанской городской Думы от 21.02.2019 N 37-III &quot;О внесении изменения в решение Рязанской городской Думы от 23.11.2017 N 418-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N 37-III</w:t>
              </w:r>
            </w:hyperlink>
            <w:r>
              <w:rPr>
                <w:sz w:val="20"/>
                <w:color w:val="392c69"/>
              </w:rPr>
              <w:t xml:space="preserve">,</w:t>
            </w:r>
          </w:p>
          <w:p>
            <w:pPr>
              <w:pStyle w:val="0"/>
              <w:jc w:val="center"/>
            </w:pPr>
            <w:r>
              <w:rPr>
                <w:sz w:val="20"/>
                <w:color w:val="392c69"/>
              </w:rPr>
              <w:t xml:space="preserve">от 12.12.2019 </w:t>
            </w:r>
            <w:hyperlink w:history="0" r:id="rId8" w:tooltip="Решение Рязанской городской Думы от 12.12.2019 N 388-III &quot;О внесении изменений в решение Рязанской городской Думы от 23.11.2017 N 418-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N 388-III</w:t>
              </w:r>
            </w:hyperlink>
            <w:r>
              <w:rPr>
                <w:sz w:val="20"/>
                <w:color w:val="392c69"/>
              </w:rPr>
              <w:t xml:space="preserve">, от 17.12.2020 </w:t>
            </w:r>
            <w:hyperlink w:history="0" r:id="rId9" w:tooltip="Решение Рязанской городской Думы от 17.12.2020 N 240-III &quot;О внесении изменений в решение Рязанской городской Думы от 23.11.2017 N 418-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N 240-III</w:t>
              </w:r>
            </w:hyperlink>
            <w:r>
              <w:rPr>
                <w:sz w:val="20"/>
                <w:color w:val="392c69"/>
              </w:rPr>
              <w:t xml:space="preserve">,</w:t>
            </w:r>
          </w:p>
          <w:p>
            <w:pPr>
              <w:pStyle w:val="0"/>
              <w:jc w:val="center"/>
            </w:pPr>
            <w:r>
              <w:rPr>
                <w:sz w:val="20"/>
                <w:color w:val="392c69"/>
              </w:rPr>
              <w:t xml:space="preserve">от 23.12.2021 </w:t>
            </w:r>
            <w:hyperlink w:history="0" r:id="rId10" w:tooltip="Решение Рязанской городской Думы от 23.12.2021 N 238-III &quot;О внесении изменений в решение Рязанской городской Думы от 23.11.2017 N 418-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N 238-III</w:t>
              </w:r>
            </w:hyperlink>
            <w:r>
              <w:rPr>
                <w:sz w:val="20"/>
                <w:color w:val="392c69"/>
              </w:rPr>
              <w:t xml:space="preserve">, от 22.12.2022 </w:t>
            </w:r>
            <w:hyperlink w:history="0" r:id="rId11" w:tooltip="Решение Рязанской городской Думы от 22.12.2022 N 334-III &quot;О внесении изменений в решение Рязанской городской Думы от 23.11.2017 N 418-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N 334-III</w:t>
              </w:r>
            </w:hyperlink>
            <w:r>
              <w:rPr>
                <w:sz w:val="20"/>
                <w:color w:val="392c69"/>
              </w:rPr>
              <w:t xml:space="preserve">,</w:t>
            </w:r>
          </w:p>
          <w:p>
            <w:pPr>
              <w:pStyle w:val="0"/>
              <w:jc w:val="center"/>
            </w:pPr>
            <w:r>
              <w:rPr>
                <w:sz w:val="20"/>
                <w:color w:val="392c69"/>
              </w:rPr>
              <w:t xml:space="preserve">от 25.12.2023 </w:t>
            </w:r>
            <w:hyperlink w:history="0" r:id="rId12" w:tooltip="Решение Рязанской городской Думы от 25.12.2023 N 108-IV &quot;О внесении изменений в решение Рязанской городской Думы от 23.11.2017 N 418-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N 108-IV</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Рассмотрев обращение и.о. главы администрации города Рязани от 13.11.2017 N 03/1/1/2-05/2273-Ин, руководствуясь Федеральным </w:t>
      </w:r>
      <w:hyperlink w:history="0" r:id="rId13"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w:t>
      </w:r>
      <w:hyperlink w:history="0" r:id="rId14"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Уставом</w:t>
        </w:r>
      </w:hyperlink>
      <w:r>
        <w:rPr>
          <w:sz w:val="20"/>
        </w:rPr>
        <w:t xml:space="preserve"> муниципального образования - городской округ город Рязань Рязанской области, Рязанская городская Дума решила:</w:t>
      </w:r>
    </w:p>
    <w:p>
      <w:pPr>
        <w:pStyle w:val="0"/>
        <w:spacing w:before="200" w:line-rule="auto"/>
        <w:ind w:firstLine="540"/>
        <w:jc w:val="both"/>
      </w:pPr>
      <w:r>
        <w:rPr>
          <w:sz w:val="20"/>
        </w:rPr>
        <w:t xml:space="preserve">1. Установить дополнительные меры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подключенным к автоматизированной системе оплаты проезда:</w:t>
      </w:r>
    </w:p>
    <w:p>
      <w:pPr>
        <w:pStyle w:val="0"/>
        <w:spacing w:before="200" w:line-rule="auto"/>
        <w:ind w:firstLine="540"/>
        <w:jc w:val="both"/>
      </w:pPr>
      <w:r>
        <w:rPr>
          <w:sz w:val="20"/>
        </w:rPr>
        <w:t xml:space="preserve">1.1. В виде оплаты проезда на муниципальных маршрутах регулярных перевозок пассажиров с помощью льготных месячных проездных билетов в форме электронного проездного билета (транспортной карты или единой цифровой карты жителя Рязанской области (далее - ЕЦК) следующей стоимости: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4"/>
        <w:gridCol w:w="6576"/>
        <w:gridCol w:w="1871"/>
      </w:tblGrid>
      <w:tr>
        <w:tc>
          <w:tcPr>
            <w:tcW w:w="604" w:type="dxa"/>
          </w:tcPr>
          <w:p>
            <w:pPr>
              <w:pStyle w:val="0"/>
              <w:jc w:val="center"/>
            </w:pPr>
            <w:r>
              <w:rPr>
                <w:sz w:val="20"/>
              </w:rPr>
              <w:t xml:space="preserve">NN пп</w:t>
            </w:r>
          </w:p>
        </w:tc>
        <w:tc>
          <w:tcPr>
            <w:tcW w:w="6576" w:type="dxa"/>
          </w:tcPr>
          <w:p>
            <w:pPr>
              <w:pStyle w:val="0"/>
              <w:jc w:val="center"/>
            </w:pPr>
            <w:r>
              <w:rPr>
                <w:sz w:val="20"/>
              </w:rPr>
              <w:t xml:space="preserve">Категория льготника</w:t>
            </w:r>
          </w:p>
        </w:tc>
        <w:tc>
          <w:tcPr>
            <w:tcW w:w="1871" w:type="dxa"/>
          </w:tcPr>
          <w:p>
            <w:pPr>
              <w:pStyle w:val="0"/>
              <w:jc w:val="center"/>
            </w:pPr>
            <w:r>
              <w:rPr>
                <w:sz w:val="20"/>
              </w:rPr>
              <w:t xml:space="preserve">На 2 вида транспорта (автобус и троллейбус), рублей</w:t>
            </w:r>
          </w:p>
        </w:tc>
      </w:tr>
      <w:tr>
        <w:tc>
          <w:tcPr>
            <w:tcW w:w="604" w:type="dxa"/>
          </w:tcPr>
          <w:p>
            <w:pPr>
              <w:pStyle w:val="0"/>
              <w:jc w:val="center"/>
            </w:pPr>
            <w:r>
              <w:rPr>
                <w:sz w:val="20"/>
              </w:rPr>
              <w:t xml:space="preserve">1</w:t>
            </w:r>
          </w:p>
        </w:tc>
        <w:tc>
          <w:tcPr>
            <w:tcW w:w="6576" w:type="dxa"/>
          </w:tcPr>
          <w:p>
            <w:pPr>
              <w:pStyle w:val="0"/>
              <w:jc w:val="center"/>
            </w:pPr>
            <w:r>
              <w:rPr>
                <w:sz w:val="20"/>
              </w:rPr>
              <w:t xml:space="preserve">2</w:t>
            </w:r>
          </w:p>
        </w:tc>
        <w:tc>
          <w:tcPr>
            <w:tcW w:w="1871" w:type="dxa"/>
          </w:tcPr>
          <w:p>
            <w:pPr>
              <w:pStyle w:val="0"/>
              <w:jc w:val="center"/>
            </w:pPr>
            <w:r>
              <w:rPr>
                <w:sz w:val="20"/>
              </w:rPr>
              <w:t xml:space="preserve">3</w:t>
            </w:r>
          </w:p>
        </w:tc>
      </w:tr>
      <w:tr>
        <w:tc>
          <w:tcPr>
            <w:tcW w:w="604" w:type="dxa"/>
          </w:tcPr>
          <w:p>
            <w:pPr>
              <w:pStyle w:val="0"/>
            </w:pPr>
            <w:r>
              <w:rPr>
                <w:sz w:val="20"/>
              </w:rPr>
            </w:r>
          </w:p>
        </w:tc>
        <w:tc>
          <w:tcPr>
            <w:gridSpan w:val="2"/>
            <w:tcW w:w="8447" w:type="dxa"/>
          </w:tcPr>
          <w:p>
            <w:pPr>
              <w:pStyle w:val="0"/>
              <w:jc w:val="center"/>
            </w:pPr>
            <w:r>
              <w:rPr>
                <w:sz w:val="20"/>
              </w:rPr>
              <w:t xml:space="preserve">Транспортная карта "Студенческая" или ЕЦК</w:t>
            </w:r>
          </w:p>
        </w:tc>
      </w:tr>
      <w:tr>
        <w:tc>
          <w:tcPr>
            <w:tcW w:w="604" w:type="dxa"/>
          </w:tcPr>
          <w:p>
            <w:pPr>
              <w:pStyle w:val="0"/>
              <w:jc w:val="center"/>
            </w:pPr>
            <w:r>
              <w:rPr>
                <w:sz w:val="20"/>
              </w:rPr>
              <w:t xml:space="preserve">1.1.1</w:t>
            </w:r>
          </w:p>
        </w:tc>
        <w:tc>
          <w:tcPr>
            <w:tcW w:w="6576" w:type="dxa"/>
          </w:tcPr>
          <w:p>
            <w:pPr>
              <w:pStyle w:val="0"/>
            </w:pPr>
            <w:r>
              <w:rPr>
                <w:sz w:val="20"/>
              </w:rPr>
              <w:t xml:space="preserve">для студентов образовательных организаций города Рязани очной системы обучения</w:t>
            </w:r>
          </w:p>
        </w:tc>
        <w:tc>
          <w:tcPr>
            <w:tcW w:w="1871" w:type="dxa"/>
          </w:tcPr>
          <w:p>
            <w:pPr>
              <w:pStyle w:val="0"/>
              <w:jc w:val="center"/>
            </w:pPr>
            <w:r>
              <w:rPr>
                <w:sz w:val="20"/>
              </w:rPr>
              <w:t xml:space="preserve">780</w:t>
            </w:r>
          </w:p>
        </w:tc>
      </w:tr>
      <w:tr>
        <w:tc>
          <w:tcPr>
            <w:tcW w:w="604" w:type="dxa"/>
          </w:tcPr>
          <w:p>
            <w:pPr>
              <w:pStyle w:val="0"/>
              <w:jc w:val="center"/>
            </w:pPr>
            <w:r>
              <w:rPr>
                <w:sz w:val="20"/>
              </w:rPr>
              <w:t xml:space="preserve">1.1.2</w:t>
            </w:r>
          </w:p>
        </w:tc>
        <w:tc>
          <w:tcPr>
            <w:tcW w:w="6576" w:type="dxa"/>
          </w:tcPr>
          <w:p>
            <w:pPr>
              <w:pStyle w:val="0"/>
            </w:pPr>
            <w:r>
              <w:rPr>
                <w:sz w:val="20"/>
              </w:rPr>
              <w:t xml:space="preserve">для студентов образовательных организаций города Рязани очной формы обучения, относящихся к следующим категориям:</w:t>
            </w:r>
          </w:p>
          <w:p>
            <w:pPr>
              <w:pStyle w:val="0"/>
            </w:pPr>
            <w:r>
              <w:rPr>
                <w:sz w:val="20"/>
              </w:rPr>
              <w:t xml:space="preserve">- студенты, являющиеся членами студенческих семей </w:t>
            </w:r>
            <w:hyperlink w:history="0" w:anchor="P61" w:tooltip="&lt;1&gt; - студенческая семья - семья, в которой оба супруга являются студентами образовательных организаций города Рязани очной формы обучения;">
              <w:r>
                <w:rPr>
                  <w:sz w:val="20"/>
                  <w:color w:val="0000ff"/>
                </w:rPr>
                <w:t xml:space="preserve">&lt;1&gt;</w:t>
              </w:r>
            </w:hyperlink>
            <w:r>
              <w:rPr>
                <w:sz w:val="20"/>
              </w:rPr>
              <w:t xml:space="preserve">, имеющих детей;</w:t>
            </w:r>
          </w:p>
          <w:p>
            <w:pPr>
              <w:pStyle w:val="0"/>
            </w:pPr>
            <w:r>
              <w:rPr>
                <w:sz w:val="20"/>
              </w:rPr>
              <w:t xml:space="preserve">- студенты, являющиеся членами многодетных неполных семей </w:t>
            </w:r>
            <w:hyperlink w:history="0" w:anchor="P62" w:tooltip="&lt;2&gt; - многодетная неполная семья - семья, имеющая в своем составе трех и более детей в возрасте до 18 лет, а также обучающихся в образовательных организациях города Рязани по очной форме обучения, но не более чем до достижения ими возраста 23 лет, которых воспитывает один из родителей (иной законный представитель), зарегистрированный по месту жительства или месту пребывания в городе Рязани;">
              <w:r>
                <w:rPr>
                  <w:sz w:val="20"/>
                  <w:color w:val="0000ff"/>
                </w:rPr>
                <w:t xml:space="preserve">&lt;2&gt;</w:t>
              </w:r>
            </w:hyperlink>
            <w:r>
              <w:rPr>
                <w:sz w:val="20"/>
              </w:rPr>
              <w:t xml:space="preserve">;</w:t>
            </w:r>
          </w:p>
          <w:p>
            <w:pPr>
              <w:pStyle w:val="0"/>
            </w:pPr>
            <w:r>
              <w:rPr>
                <w:sz w:val="20"/>
              </w:rPr>
              <w:t xml:space="preserve">- студенты, являющиеся членами малообеспеченных семей </w:t>
            </w:r>
            <w:hyperlink w:history="0" w:anchor="P63" w:tooltip="&lt;3&gt; - малообеспеченная семья - семья, среднедушевой доход которой не достигает величины прожиточного минимума на душу населения, установленного в Рязанской области.">
              <w:r>
                <w:rPr>
                  <w:sz w:val="20"/>
                  <w:color w:val="0000ff"/>
                </w:rPr>
                <w:t xml:space="preserve">&lt;3&gt;</w:t>
              </w:r>
            </w:hyperlink>
          </w:p>
        </w:tc>
        <w:tc>
          <w:tcPr>
            <w:tcW w:w="1871" w:type="dxa"/>
          </w:tcPr>
          <w:p>
            <w:pPr>
              <w:pStyle w:val="0"/>
              <w:jc w:val="center"/>
            </w:pPr>
            <w:r>
              <w:rPr>
                <w:sz w:val="20"/>
              </w:rPr>
              <w:t xml:space="preserve">350</w:t>
            </w:r>
          </w:p>
        </w:tc>
      </w:tr>
      <w:tr>
        <w:tc>
          <w:tcPr>
            <w:tcW w:w="604" w:type="dxa"/>
          </w:tcPr>
          <w:p>
            <w:pPr>
              <w:pStyle w:val="0"/>
            </w:pPr>
            <w:r>
              <w:rPr>
                <w:sz w:val="20"/>
              </w:rPr>
            </w:r>
          </w:p>
        </w:tc>
        <w:tc>
          <w:tcPr>
            <w:gridSpan w:val="2"/>
            <w:tcW w:w="8447" w:type="dxa"/>
          </w:tcPr>
          <w:p>
            <w:pPr>
              <w:pStyle w:val="0"/>
              <w:jc w:val="center"/>
            </w:pPr>
            <w:r>
              <w:rPr>
                <w:sz w:val="20"/>
              </w:rPr>
              <w:t xml:space="preserve">Транспортная карта "Школьная" или ЕЦК</w:t>
            </w:r>
          </w:p>
        </w:tc>
      </w:tr>
      <w:tr>
        <w:tc>
          <w:tcPr>
            <w:tcW w:w="604" w:type="dxa"/>
          </w:tcPr>
          <w:p>
            <w:pPr>
              <w:pStyle w:val="0"/>
              <w:jc w:val="center"/>
            </w:pPr>
            <w:r>
              <w:rPr>
                <w:sz w:val="20"/>
              </w:rPr>
              <w:t xml:space="preserve">1.1.3</w:t>
            </w:r>
          </w:p>
        </w:tc>
        <w:tc>
          <w:tcPr>
            <w:tcW w:w="6576" w:type="dxa"/>
          </w:tcPr>
          <w:p>
            <w:pPr>
              <w:pStyle w:val="0"/>
            </w:pPr>
            <w:r>
              <w:rPr>
                <w:sz w:val="20"/>
              </w:rPr>
              <w:t xml:space="preserve">для учащихся общеобразовательных организаций города Рязани</w:t>
            </w:r>
          </w:p>
        </w:tc>
        <w:tc>
          <w:tcPr>
            <w:tcW w:w="1871" w:type="dxa"/>
          </w:tcPr>
          <w:p>
            <w:pPr>
              <w:pStyle w:val="0"/>
              <w:jc w:val="center"/>
            </w:pPr>
            <w:r>
              <w:rPr>
                <w:sz w:val="20"/>
              </w:rPr>
              <w:t xml:space="preserve">441</w:t>
            </w:r>
          </w:p>
        </w:tc>
      </w:tr>
      <w:tr>
        <w:tc>
          <w:tcPr>
            <w:tcW w:w="604" w:type="dxa"/>
          </w:tcPr>
          <w:p>
            <w:pPr>
              <w:pStyle w:val="0"/>
              <w:jc w:val="center"/>
            </w:pPr>
            <w:r>
              <w:rPr>
                <w:sz w:val="20"/>
              </w:rPr>
              <w:t xml:space="preserve">1.1.4</w:t>
            </w:r>
          </w:p>
        </w:tc>
        <w:tc>
          <w:tcPr>
            <w:tcW w:w="6576" w:type="dxa"/>
          </w:tcPr>
          <w:p>
            <w:pPr>
              <w:pStyle w:val="0"/>
            </w:pPr>
            <w:r>
              <w:rPr>
                <w:sz w:val="20"/>
              </w:rPr>
              <w:t xml:space="preserve">для учащихся общеобразовательных организаций города Рязани, являющихся членами малообеспеченных семей</w:t>
            </w:r>
          </w:p>
        </w:tc>
        <w:tc>
          <w:tcPr>
            <w:tcW w:w="1871" w:type="dxa"/>
          </w:tcPr>
          <w:p>
            <w:pPr>
              <w:pStyle w:val="0"/>
              <w:jc w:val="center"/>
            </w:pPr>
            <w:r>
              <w:rPr>
                <w:sz w:val="20"/>
              </w:rPr>
              <w:t xml:space="preserve">184</w:t>
            </w:r>
          </w:p>
        </w:tc>
      </w:tr>
      <w:tr>
        <w:tc>
          <w:tcPr>
            <w:tcW w:w="604" w:type="dxa"/>
          </w:tcPr>
          <w:p>
            <w:pPr>
              <w:pStyle w:val="0"/>
            </w:pPr>
            <w:r>
              <w:rPr>
                <w:sz w:val="20"/>
              </w:rPr>
            </w:r>
          </w:p>
        </w:tc>
        <w:tc>
          <w:tcPr>
            <w:gridSpan w:val="2"/>
            <w:tcW w:w="8447" w:type="dxa"/>
          </w:tcPr>
          <w:p>
            <w:pPr>
              <w:pStyle w:val="0"/>
              <w:jc w:val="center"/>
            </w:pPr>
            <w:r>
              <w:rPr>
                <w:sz w:val="20"/>
              </w:rPr>
              <w:t xml:space="preserve">Транспортная карта "Льготная" или ЕЦК</w:t>
            </w:r>
          </w:p>
        </w:tc>
      </w:tr>
      <w:tr>
        <w:tc>
          <w:tcPr>
            <w:tcW w:w="604" w:type="dxa"/>
          </w:tcPr>
          <w:p>
            <w:pPr>
              <w:pStyle w:val="0"/>
              <w:jc w:val="center"/>
            </w:pPr>
            <w:r>
              <w:rPr>
                <w:sz w:val="20"/>
              </w:rPr>
              <w:t xml:space="preserve">1.1.5</w:t>
            </w:r>
          </w:p>
        </w:tc>
        <w:tc>
          <w:tcPr>
            <w:tcW w:w="6576" w:type="dxa"/>
          </w:tcPr>
          <w:p>
            <w:pPr>
              <w:pStyle w:val="0"/>
            </w:pPr>
            <w:r>
              <w:rPr>
                <w:sz w:val="20"/>
              </w:rPr>
              <w:t xml:space="preserve">для граждан, получающих пенсию из Фонда пенсионного и социального страхования Российской Федерации либо достигших возраста 60 лет для мужчин и 55 лет для женщин, зарегистрированных по месту жительства или месту пребывания в городе Рязани, в том числе в поселке Солотча,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c>
          <w:tcPr>
            <w:tcW w:w="1871" w:type="dxa"/>
          </w:tcPr>
          <w:p>
            <w:pPr>
              <w:pStyle w:val="0"/>
              <w:jc w:val="center"/>
            </w:pPr>
            <w:r>
              <w:rPr>
                <w:sz w:val="20"/>
              </w:rPr>
              <w:t xml:space="preserve">446</w:t>
            </w:r>
          </w:p>
        </w:tc>
      </w:tr>
      <w:tr>
        <w:tc>
          <w:tcPr>
            <w:tcW w:w="604" w:type="dxa"/>
          </w:tcPr>
          <w:p>
            <w:pPr>
              <w:pStyle w:val="0"/>
              <w:jc w:val="center"/>
            </w:pPr>
            <w:r>
              <w:rPr>
                <w:sz w:val="20"/>
              </w:rPr>
              <w:t xml:space="preserve">1.1.6</w:t>
            </w:r>
          </w:p>
        </w:tc>
        <w:tc>
          <w:tcPr>
            <w:tcW w:w="6576" w:type="dxa"/>
          </w:tcPr>
          <w:p>
            <w:pPr>
              <w:pStyle w:val="0"/>
            </w:pPr>
            <w:r>
              <w:rPr>
                <w:sz w:val="20"/>
              </w:rPr>
              <w:t xml:space="preserve">для одного родителя либо иного законного представителя из многодетной семьи, зарегистрированного по месту жительства или месту пребывания в городе Рязани, которому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c>
          <w:tcPr>
            <w:tcW w:w="1871" w:type="dxa"/>
          </w:tcPr>
          <w:p>
            <w:pPr>
              <w:pStyle w:val="0"/>
              <w:jc w:val="center"/>
            </w:pPr>
            <w:r>
              <w:rPr>
                <w:sz w:val="20"/>
              </w:rPr>
              <w:t xml:space="preserve">446</w:t>
            </w:r>
          </w:p>
        </w:tc>
      </w:tr>
      <w:tr>
        <w:tc>
          <w:tcPr>
            <w:tcW w:w="604" w:type="dxa"/>
          </w:tcPr>
          <w:p>
            <w:pPr>
              <w:pStyle w:val="0"/>
              <w:jc w:val="center"/>
            </w:pPr>
            <w:r>
              <w:rPr>
                <w:sz w:val="20"/>
              </w:rPr>
              <w:t xml:space="preserve">1.1.7</w:t>
            </w:r>
          </w:p>
        </w:tc>
        <w:tc>
          <w:tcPr>
            <w:tcW w:w="6576" w:type="dxa"/>
          </w:tcPr>
          <w:p>
            <w:pPr>
              <w:pStyle w:val="0"/>
            </w:pPr>
            <w:r>
              <w:rPr>
                <w:sz w:val="20"/>
              </w:rPr>
              <w:t xml:space="preserve">для вдов участников ликвидации последствий катастрофы на Чернобыльской АЭС, зарегистрированных по месту жительства или месту пребывания в городе Рязани, не вступивших в повторный брак 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c>
          <w:tcPr>
            <w:tcW w:w="1871" w:type="dxa"/>
          </w:tcPr>
          <w:p>
            <w:pPr>
              <w:pStyle w:val="0"/>
              <w:jc w:val="center"/>
            </w:pPr>
            <w:r>
              <w:rPr>
                <w:sz w:val="20"/>
              </w:rPr>
              <w:t xml:space="preserve">446</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bookmarkStart w:id="61" w:name="P61"/>
    <w:bookmarkEnd w:id="61"/>
    <w:p>
      <w:pPr>
        <w:pStyle w:val="0"/>
        <w:spacing w:before="200" w:line-rule="auto"/>
        <w:ind w:firstLine="540"/>
        <w:jc w:val="both"/>
      </w:pPr>
      <w:r>
        <w:rPr>
          <w:sz w:val="20"/>
        </w:rPr>
        <w:t xml:space="preserve">&lt;1&gt; - студенческая семья - семья, в которой оба супруга являются студентами образовательных организаций города Рязани очной формы обучения;</w:t>
      </w:r>
    </w:p>
    <w:bookmarkStart w:id="62" w:name="P62"/>
    <w:bookmarkEnd w:id="62"/>
    <w:p>
      <w:pPr>
        <w:pStyle w:val="0"/>
        <w:spacing w:before="200" w:line-rule="auto"/>
        <w:ind w:firstLine="540"/>
        <w:jc w:val="both"/>
      </w:pPr>
      <w:r>
        <w:rPr>
          <w:sz w:val="20"/>
        </w:rPr>
        <w:t xml:space="preserve">&lt;2&gt; - многодетная неполная семья - семья, имеющая в своем составе трех и более детей в возрасте до 18 лет, а также обучающихся в образовательных организациях города Рязани по очной форме обучения, но не более чем до достижения ими возраста 23 лет, которых воспитывает один из родителей (иной законный представитель), зарегистрированный по месту жительства или месту пребывания в городе Рязани;</w:t>
      </w:r>
    </w:p>
    <w:bookmarkStart w:id="63" w:name="P63"/>
    <w:bookmarkEnd w:id="63"/>
    <w:p>
      <w:pPr>
        <w:pStyle w:val="0"/>
        <w:spacing w:before="200" w:line-rule="auto"/>
        <w:ind w:firstLine="540"/>
        <w:jc w:val="both"/>
      </w:pPr>
      <w:r>
        <w:rPr>
          <w:sz w:val="20"/>
        </w:rPr>
        <w:t xml:space="preserve">&lt;3&gt; - малообеспеченная семья - семья, среднедушевой доход которой не достигает величины прожиточного минимума на душу населения, установленного в Рязанской области.</w:t>
      </w:r>
    </w:p>
    <w:p>
      <w:pPr>
        <w:pStyle w:val="0"/>
        <w:jc w:val="both"/>
      </w:pPr>
      <w:r>
        <w:rPr>
          <w:sz w:val="20"/>
        </w:rPr>
        <w:t xml:space="preserve">(пп. 1.1 в ред. </w:t>
      </w:r>
      <w:hyperlink w:history="0" r:id="rId15" w:tooltip="Решение Рязанской городской Думы от 25.12.2023 N 108-IV &quot;О внесении изменений в решение Рязанской городской Думы от 23.11.2017 N 418-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Решения</w:t>
        </w:r>
      </w:hyperlink>
      <w:r>
        <w:rPr>
          <w:sz w:val="20"/>
        </w:rPr>
        <w:t xml:space="preserve"> Рязанской городской Думы от 25.12.2023 N 108-IV)</w:t>
      </w:r>
    </w:p>
    <w:p>
      <w:pPr>
        <w:pStyle w:val="0"/>
        <w:jc w:val="both"/>
      </w:pPr>
      <w:r>
        <w:rPr>
          <w:sz w:val="20"/>
        </w:rPr>
      </w:r>
    </w:p>
    <w:p>
      <w:pPr>
        <w:pStyle w:val="0"/>
        <w:ind w:firstLine="540"/>
        <w:jc w:val="both"/>
      </w:pPr>
      <w:r>
        <w:rPr>
          <w:sz w:val="20"/>
        </w:rPr>
        <w:t xml:space="preserve">1.2. В виде оплаты проезда на муниципальных маршрутах регулярных перевозок пассажиров с помощью бесплатного месячного проездного билета в форме электронного проездного билета (транспортной карты или ЕЦК) для следующих категорий учащихся и студентов образовательных организаций города Рязани очной формы обучения, которым не установлены меры социальной поддержки и социальной помощи по федеральному, региональному законодательству и иным нормативным правовым актам по оплате проезда:</w:t>
      </w:r>
    </w:p>
    <w:p>
      <w:pPr>
        <w:pStyle w:val="0"/>
        <w:jc w:val="both"/>
      </w:pPr>
      <w:r>
        <w:rPr>
          <w:sz w:val="20"/>
        </w:rPr>
        <w:t xml:space="preserve">(в ред. </w:t>
      </w:r>
      <w:hyperlink w:history="0" r:id="rId16" w:tooltip="Решение Рязанской городской Думы от 25.12.2023 N 108-IV &quot;О внесении изменений в решение Рязанской городской Думы от 23.11.2017 N 418-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Решения</w:t>
        </w:r>
      </w:hyperlink>
      <w:r>
        <w:rPr>
          <w:sz w:val="20"/>
        </w:rPr>
        <w:t xml:space="preserve"> Рязанской городской Думы от 25.12.2023 N 108-IV)</w:t>
      </w:r>
    </w:p>
    <w:p>
      <w:pPr>
        <w:pStyle w:val="0"/>
        <w:spacing w:before="200" w:line-rule="auto"/>
        <w:ind w:firstLine="540"/>
        <w:jc w:val="both"/>
      </w:pPr>
      <w:r>
        <w:rPr>
          <w:sz w:val="20"/>
        </w:rPr>
        <w:t xml:space="preserve">1) учащихся общеобразовательных организаций города Рязани, являющихся детьми-сиротами и детьми, оставшимися без попечения родителей;</w:t>
      </w:r>
    </w:p>
    <w:p>
      <w:pPr>
        <w:pStyle w:val="0"/>
        <w:spacing w:before="200" w:line-rule="auto"/>
        <w:ind w:firstLine="540"/>
        <w:jc w:val="both"/>
      </w:pPr>
      <w:r>
        <w:rPr>
          <w:sz w:val="20"/>
        </w:rPr>
        <w:t xml:space="preserve">2) студенток, являющихся матерями-одиночками.</w:t>
      </w:r>
    </w:p>
    <w:p>
      <w:pPr>
        <w:pStyle w:val="0"/>
        <w:spacing w:before="200" w:line-rule="auto"/>
        <w:ind w:firstLine="540"/>
        <w:jc w:val="both"/>
      </w:pPr>
      <w:r>
        <w:rPr>
          <w:sz w:val="20"/>
        </w:rPr>
        <w:t xml:space="preserve">1.3. - 1.4. Утратили силу с 1 января 2020 года. - </w:t>
      </w:r>
      <w:hyperlink w:history="0" r:id="rId17" w:tooltip="Решение Рязанской городской Думы от 12.12.2019 N 388-III &quot;О внесении изменений в решение Рязанской городской Думы от 23.11.2017 N 418-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Решение</w:t>
        </w:r>
      </w:hyperlink>
      <w:r>
        <w:rPr>
          <w:sz w:val="20"/>
        </w:rPr>
        <w:t xml:space="preserve"> Рязанской городской Думы от 12.12.2019 N 388-III.</w:t>
      </w:r>
    </w:p>
    <w:p>
      <w:pPr>
        <w:pStyle w:val="0"/>
        <w:spacing w:before="200" w:line-rule="auto"/>
        <w:ind w:firstLine="540"/>
        <w:jc w:val="both"/>
      </w:pPr>
      <w:r>
        <w:rPr>
          <w:sz w:val="20"/>
        </w:rPr>
        <w:t xml:space="preserve">2. Администрации города Рязани (Карабасов С.Ю.) привести свои правовые акты в соответствие с настоящим решением.</w:t>
      </w:r>
    </w:p>
    <w:p>
      <w:pPr>
        <w:pStyle w:val="0"/>
        <w:spacing w:before="200" w:line-rule="auto"/>
        <w:ind w:firstLine="540"/>
        <w:jc w:val="both"/>
      </w:pPr>
      <w:r>
        <w:rPr>
          <w:sz w:val="20"/>
        </w:rPr>
        <w:t xml:space="preserve">3. Расходы, связанные с обеспечением полного или частичного освобождения от платы за услуги по перевозке пассажиров автомобильным и наземным электрическим транспортом общего пользования города Рязани, подключенным к автоматизированной системе оплаты проезда, ежегодно осуществлять в пределах средств, предусмотренных бюджетом города Рязани на соответствующий год на указанные цели.</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r>
        <w:rPr>
          <w:sz w:val="20"/>
        </w:rPr>
        <w:t xml:space="preserve">- </w:t>
      </w:r>
      <w:hyperlink w:history="0" r:id="rId18" w:tooltip="Решение Рязанской городской Думы от 27.12.2016 N 583-II (ред. от 27.07.2017)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 Утратил силу или отменен {КонсультантПлюс}">
        <w:r>
          <w:rPr>
            <w:sz w:val="20"/>
            <w:color w:val="0000ff"/>
          </w:rPr>
          <w:t xml:space="preserve">решение</w:t>
        </w:r>
      </w:hyperlink>
      <w:r>
        <w:rPr>
          <w:sz w:val="20"/>
        </w:rPr>
        <w:t xml:space="preserve"> Рязанской городской Думы от 27.12.2016 N 583-II "Об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 </w:t>
      </w:r>
      <w:hyperlink w:history="0" r:id="rId19" w:tooltip="Решение Рязанской городской Думы от 27.07.2017 N 257-II &quot;О внесении изменений в решение Рязанской городской Думы от 27.12.2016 N 583-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 Утратил силу или отменен {КонсультантПлюс}">
        <w:r>
          <w:rPr>
            <w:sz w:val="20"/>
            <w:color w:val="0000ff"/>
          </w:rPr>
          <w:t xml:space="preserve">решение</w:t>
        </w:r>
      </w:hyperlink>
      <w:r>
        <w:rPr>
          <w:sz w:val="20"/>
        </w:rPr>
        <w:t xml:space="preserve"> Рязанской городской Думы от 27.07.2017 N 257-II "О внесении изменений в решение Рязанской городской Думы от 27.12.2016 N 583-II "Об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5. Настоящее решение вступает в силу с 1 января 2018 года и подлежит официальному опубликованию.</w:t>
      </w:r>
    </w:p>
    <w:p>
      <w:pPr>
        <w:pStyle w:val="0"/>
        <w:spacing w:before="200" w:line-rule="auto"/>
        <w:ind w:firstLine="540"/>
        <w:jc w:val="both"/>
      </w:pPr>
      <w:r>
        <w:rPr>
          <w:sz w:val="20"/>
        </w:rPr>
        <w:t xml:space="preserve">6. Разместить настоящее решение на официальном сайте Рязанской городской Думы в сети Интернет.</w:t>
      </w:r>
    </w:p>
    <w:p>
      <w:pPr>
        <w:pStyle w:val="0"/>
        <w:spacing w:before="200" w:line-rule="auto"/>
        <w:ind w:firstLine="540"/>
        <w:jc w:val="both"/>
      </w:pPr>
      <w:r>
        <w:rPr>
          <w:sz w:val="20"/>
        </w:rPr>
        <w:t xml:space="preserve">7. Контроль за исполнением настоящего решения возложить на комитет по бюджету и налогам Рязанской городской Думы (Трушина Г.В.).</w:t>
      </w:r>
    </w:p>
    <w:p>
      <w:pPr>
        <w:pStyle w:val="0"/>
        <w:jc w:val="both"/>
      </w:pPr>
      <w:r>
        <w:rPr>
          <w:sz w:val="20"/>
        </w:rPr>
      </w:r>
    </w:p>
    <w:p>
      <w:pPr>
        <w:pStyle w:val="0"/>
        <w:jc w:val="right"/>
      </w:pPr>
      <w:r>
        <w:rPr>
          <w:sz w:val="20"/>
        </w:rPr>
        <w:t xml:space="preserve">Глава муниципального образования,</w:t>
      </w:r>
    </w:p>
    <w:p>
      <w:pPr>
        <w:pStyle w:val="0"/>
        <w:jc w:val="right"/>
      </w:pPr>
      <w:r>
        <w:rPr>
          <w:sz w:val="20"/>
        </w:rPr>
        <w:t xml:space="preserve">председатель Рязанской городской Думы</w:t>
      </w:r>
    </w:p>
    <w:p>
      <w:pPr>
        <w:pStyle w:val="0"/>
        <w:jc w:val="right"/>
      </w:pPr>
      <w:r>
        <w:rPr>
          <w:sz w:val="20"/>
        </w:rPr>
        <w:t xml:space="preserve">В.В.ФРОЛОВ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Рязанской городской Думы от 23.11.2017 N 418-II</w:t>
            <w:br/>
            <w:t>(ред. от 25.12.2023)</w:t>
            <w:br/>
            <w:t>"Об установлении дополнительных мер социаль...</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05.03.2024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Решение Рязанской городской Думы от 23.11.2017 N 418-II (ред. от 25.12.2023) "Об установлении дополнительных мер социаль...</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consultantplus://offline/ref=A435DA6A840F7C006A61AA8CBA73DF39289F441482B9F1575C743A7CBDCF54E1D059EE24439905622404C39362DE94F42A664F8F52F262F96518504566w6L" TargetMode = "External"/>
	<Relationship Id="rId7" Type="http://schemas.openxmlformats.org/officeDocument/2006/relationships/hyperlink" Target="consultantplus://offline/ref=A435DA6A840F7C006A61AA8CBA73DF39289F441482B9F45E5B743A7CBDCF54E1D059EE24439905622404C39362DE94F42A664F8F52F262F96518504566w6L" TargetMode = "External"/>
	<Relationship Id="rId8" Type="http://schemas.openxmlformats.org/officeDocument/2006/relationships/hyperlink" Target="consultantplus://offline/ref=A435DA6A840F7C006A61AA8CBA73DF39289F441482B7F55955753A7CBDCF54E1D059EE24439905622404C39362DE94F42A664F8F52F262F96518504566w6L" TargetMode = "External"/>
	<Relationship Id="rId9" Type="http://schemas.openxmlformats.org/officeDocument/2006/relationships/hyperlink" Target="consultantplus://offline/ref=A435DA6A840F7C006A61AA8CBA73DF39289F441483BCF25E5D723A7CBDCF54E1D059EE24439905622404C39362DE94F42A664F8F52F262F96518504566w6L" TargetMode = "External"/>
	<Relationship Id="rId10" Type="http://schemas.openxmlformats.org/officeDocument/2006/relationships/hyperlink" Target="consultantplus://offline/ref=A435DA6A840F7C006A61AA8CBA73DF39289F441483BAFA5B5C743A7CBDCF54E1D059EE24439905622404C39362DE94F42A664F8F52F262F96518504566w6L" TargetMode = "External"/>
	<Relationship Id="rId11" Type="http://schemas.openxmlformats.org/officeDocument/2006/relationships/hyperlink" Target="consultantplus://offline/ref=A435DA6A840F7C006A61AA8CBA73DF39289F441483B6F2565A753A7CBDCF54E1D059EE24439905622404C39362DE94F42A664F8F52F262F96518504566w6L" TargetMode = "External"/>
	<Relationship Id="rId12" Type="http://schemas.openxmlformats.org/officeDocument/2006/relationships/hyperlink" Target="consultantplus://offline/ref=A435DA6A840F7C006A61AA8CBA73DF39289F441484BFFB5C5D753A7CBDCF54E1D059EE24439905622404C39362DE94F42A664F8F52F262F96518504566w6L" TargetMode = "External"/>
	<Relationship Id="rId13" Type="http://schemas.openxmlformats.org/officeDocument/2006/relationships/hyperlink" Target="consultantplus://offline/ref=A435DA6A840F7C006A61B481AC1F81332F92131E89B6F80900273C2BE29F52B48219B07D00D81663271AC193656Dw1L" TargetMode = "External"/>
	<Relationship Id="rId14" Type="http://schemas.openxmlformats.org/officeDocument/2006/relationships/hyperlink" Target="consultantplus://offline/ref=A435DA6A840F7C006A61AA8CBA73DF39289F441484BEFB5F5A7A3A7CBDCF54E1D059EE2451995D6E2401DD9364CBC2A56C63w7L" TargetMode = "External"/>
	<Relationship Id="rId15" Type="http://schemas.openxmlformats.org/officeDocument/2006/relationships/hyperlink" Target="consultantplus://offline/ref=A435DA6A840F7C006A61AA8CBA73DF39289F441484BFFB5C5D753A7CBDCF54E1D059EE24439905622404C39361DE94F42A664F8F52F262F96518504566w6L" TargetMode = "External"/>
	<Relationship Id="rId16" Type="http://schemas.openxmlformats.org/officeDocument/2006/relationships/hyperlink" Target="consultantplus://offline/ref=A435DA6A840F7C006A61AA8CBA73DF39289F441484BFFB5C5D753A7CBDCF54E1D059EE24439905622404C39761DE94F42A664F8F52F262F96518504566w6L" TargetMode = "External"/>
	<Relationship Id="rId17" Type="http://schemas.openxmlformats.org/officeDocument/2006/relationships/hyperlink" Target="consultantplus://offline/ref=A435DA6A840F7C006A61AA8CBA73DF39289F441482B7F55955753A7CBDCF54E1D059EE24439905622404C39660DE94F42A664F8F52F262F96518504566w6L" TargetMode = "External"/>
	<Relationship Id="rId18" Type="http://schemas.openxmlformats.org/officeDocument/2006/relationships/hyperlink" Target="consultantplus://offline/ref=A435DA6A840F7C006A61AA8CBA73DF39289F441482BDF55E54733A7CBDCF54E1D059EE2451995D6E2401DD9364CBC2A56C63w7L" TargetMode = "External"/>
	<Relationship Id="rId19" Type="http://schemas.openxmlformats.org/officeDocument/2006/relationships/hyperlink" Target="consultantplus://offline/ref=A435DA6A840F7C006A61AA8CBA73DF39289F441482BDF55F59733A7CBDCF54E1D059EE2451995D6E2401DD9364CBC2A56C63w7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Рязанской городской Думы от 23.11.2017 N 418-II
(ред. от 25.12.2023)
"Об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dc:title>
  <dcterms:created xsi:type="dcterms:W3CDTF">2024-03-05T11:48:58Z</dcterms:created>
</cp:coreProperties>
</file>