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Минцифры Рязанской области от 17.04.2023 N 4</w:t>
              <w:br/>
              <w:t xml:space="preserve">"Об утверждении технических требований для присоединения к информационной системе "Единая цифровая карта жителя Рязанской области" и порядка информационного обмена в электронной форме между информационными системами участников информационной системы "Единая цифровая карта жителя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ЦИФРОВОГО РАЗВИТИЯ, ИНФОРМАЦИОННЫХ ТЕХНОЛОГИЙ</w:t>
      </w:r>
    </w:p>
    <w:p>
      <w:pPr>
        <w:pStyle w:val="2"/>
        <w:jc w:val="center"/>
      </w:pPr>
      <w:r>
        <w:rPr>
          <w:sz w:val="20"/>
        </w:rPr>
        <w:t xml:space="preserve">И СВЯЗИ РЯЗАНСКОЙ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апреля 2023 г. N 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ТЕХНИЧЕСКИХ ТРЕБОВАНИЙ ДЛЯ ПРИСОЕДИНЕНИЯ</w:t>
      </w:r>
    </w:p>
    <w:p>
      <w:pPr>
        <w:pStyle w:val="2"/>
        <w:jc w:val="center"/>
      </w:pPr>
      <w:r>
        <w:rPr>
          <w:sz w:val="20"/>
        </w:rPr>
        <w:t xml:space="preserve">К ИНФОРМАЦИОННОЙ СИСТЕМЕ "ЕДИНАЯ ЦИФРОВАЯ КАРТА ЖИТЕЛЯ</w:t>
      </w:r>
    </w:p>
    <w:p>
      <w:pPr>
        <w:pStyle w:val="2"/>
        <w:jc w:val="center"/>
      </w:pPr>
      <w:r>
        <w:rPr>
          <w:sz w:val="20"/>
        </w:rPr>
        <w:t xml:space="preserve">РЯЗАНСКОЙ ОБЛАСТИ" И ПОРЯДКА ИНФОРМАЦИОННОГО ОБМЕНА</w:t>
      </w:r>
    </w:p>
    <w:p>
      <w:pPr>
        <w:pStyle w:val="2"/>
        <w:jc w:val="center"/>
      </w:pPr>
      <w:r>
        <w:rPr>
          <w:sz w:val="20"/>
        </w:rPr>
        <w:t xml:space="preserve">В ЭЛЕКТРОННОЙ ФОРМЕ МЕЖДУ ИНФОРМАЦИОННЫМИ СИСТЕМАМИ</w:t>
      </w:r>
    </w:p>
    <w:p>
      <w:pPr>
        <w:pStyle w:val="2"/>
        <w:jc w:val="center"/>
      </w:pPr>
      <w:r>
        <w:rPr>
          <w:sz w:val="20"/>
        </w:rPr>
        <w:t xml:space="preserve">УЧАСТНИКОВ ИНФОРМАЦИОННОЙ СИСТЕМЫ "ЕДИНАЯ ЦИФРОВАЯ КАРТА</w:t>
      </w:r>
    </w:p>
    <w:p>
      <w:pPr>
        <w:pStyle w:val="2"/>
        <w:jc w:val="center"/>
      </w:pPr>
      <w:r>
        <w:rPr>
          <w:sz w:val="20"/>
        </w:rPr>
        <w:t xml:space="preserve">ЖИТЕЛЯ РЯЗАНСКОЙ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области", руководствуясь </w:t>
      </w:r>
      <w:hyperlink w:history="0" r:id="rId8" w:tooltip="Постановление Правительства Рязанской области от 29.10.2019 N 330 (ред. от 14.11.2023) &quot;Об утверждении Положения о министерстве цифрового развития, информационных технологий и связи Рязанской области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цифрового развития, информационных технологий и связи Рязанской области, утвержденным Постановлением Правительства Рязанской области от 29.10.2019 N 330, министерство цифрового развития, информационных технологий и связи Рязанской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ТЕХНИЧЕСКИЕ ТРЕБОВАНИЯ">
        <w:r>
          <w:rPr>
            <w:sz w:val="20"/>
            <w:color w:val="0000ff"/>
          </w:rPr>
          <w:t xml:space="preserve">технические требования</w:t>
        </w:r>
      </w:hyperlink>
      <w:r>
        <w:rPr>
          <w:sz w:val="20"/>
        </w:rPr>
        <w:t xml:space="preserve"> для присоединения к информационной системе "Единая цифровая карта жителя Рязанской области"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20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информационного обмена в электронной форме между информационными системами участников информационной системы "Единая цифровая карта жителя Рязанской области"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А.Ю.УЛЬЯНОВ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министерства цифрового развития,</w:t>
      </w:r>
    </w:p>
    <w:p>
      <w:pPr>
        <w:pStyle w:val="0"/>
        <w:jc w:val="right"/>
      </w:pPr>
      <w:r>
        <w:rPr>
          <w:sz w:val="20"/>
        </w:rPr>
        <w:t xml:space="preserve">информационных технологий и связи</w:t>
      </w:r>
    </w:p>
    <w:p>
      <w:pPr>
        <w:pStyle w:val="0"/>
        <w:jc w:val="right"/>
      </w:pPr>
      <w:r>
        <w:rPr>
          <w:sz w:val="20"/>
        </w:rPr>
        <w:t xml:space="preserve">Рязанской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2023 г. N 4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ТЕХНИЧЕСКИЕ ТРЕБОВАНИЯ</w:t>
      </w:r>
    </w:p>
    <w:p>
      <w:pPr>
        <w:pStyle w:val="2"/>
        <w:jc w:val="center"/>
      </w:pPr>
      <w:r>
        <w:rPr>
          <w:sz w:val="20"/>
        </w:rPr>
        <w:t xml:space="preserve">ДЛЯ ПРИСОЕДИНЕНИЯ К ИНФОРМАЦИОННОЙ СИСТЕМЕ</w:t>
      </w:r>
    </w:p>
    <w:p>
      <w:pPr>
        <w:pStyle w:val="2"/>
        <w:jc w:val="center"/>
      </w:pPr>
      <w:r>
        <w:rPr>
          <w:sz w:val="20"/>
        </w:rPr>
        <w:t xml:space="preserve">"ЕДИНАЯ ЦИФРОВАЯ КАРТА ЖИТЕЛЯ РЯЗАНСКОЙ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Термины и определения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 ЕЦК - информационная система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ЗС - защищенная сеть VipNet N 20581, находящаяся в ведении ООО "РЕСУРСЫ ПАРТНЕРОВ РЯЗАНЬ";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ЦУС - центр управления 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- программное обеспечение;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СКЗИ - средство криптографической защиты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ИС ЕЦК - юридическое лицо или индивидуальный предприниматель, осуществляющее информационное взаимодействие с ИС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Администратор сети N 20581 - ООО "РЕСУРСЫ ПАРТНЕРОВ РЯЗАНЬ";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АРМ - автоматизированное рабочее место Участника ИС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ViPNet Client - программный комплекс, выполняющий на рабочем месте Участника ИС ЕЦК функции VPN-клиента, персонального экрана, клиента защищенной почтовой системы, а также криптопровайдера для прикладных программ, использующих функции подписи и шифрования;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ViPNet Coordinator - программно-аппаратный комплекс ViPNet Coordinator, размещаемый на границах сетей или сегментов сети и выполняющий в рамках сети ViPNet серверные функции, маршрутизацию трафика и служебной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Сетевой узел - АРМ с установленным ПО ViPNet Client или программно-аппаратный комплекс ViPNet Coordinator, размещаемый на границах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Дистрибутив ключей - файл с расширением .dst, создаваемый для каждого сетевого узла ViPNet и устанавливаемый на узел. В файл помещены адресные справочники, ключевая информация и файл лицензии, необходимые для обеспечения первичного запуска и последующей работы сетевого узла.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Назначение документа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Настоящий документ разработан с целью определения технических требований для присоединения к ИС ЕЦК, порядка подключения сетевых узлов или VipNet сетей Участника ИС ЕЦК к ЗС в рамках утвержденного порядка информационного обмена между участниками ИС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Под присоединением к ИС ЕЦК понимается осуществление информационного взаимодействия в режиме файлового обмена по SFTP-протоколу либо с использованием интерфейса АРI между Оператором Цифрового сервиса ЕЦК и Участником ИС ЕЦК. Для осуществления информационного взаимодействия Участнику ИС ЕЦК необходимо реализовать подключение к ЗС согласно настоящим техническим требованиям.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Общие сведения о защищенной виртуальной сети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ЗС организована на базе сертифицированных по требованиям безопасности информации СКЗИ, обеспечивающих создание защищенной доверенной среды передачи данных, транспортной средой для которой может являться как сеть Интернет, так и любой коммутируемый канал на базе протокола IP.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ЗС обеспечивает выполнение требований безопасности по передаче информации ограниченного доступа и персональных данных уровня защищенности УЗ3, не содержащие сведения, составляющие государственную тайну.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ЦУС ЗС и его коммуникационное ядро находится в ведении Администратора сети N 20581.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Объекты подключения к защищенной сети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качестве объектов сетевых узлов Участника ИС ЕЦК, подключаемых к ЗС, рассматриваются: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ПАК ViPNet Coordinator HW (50/100/1000/2000/5000) Участника ИС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АРМ Участника ИС ЕЦК с установленным ПО ViPNet Client.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средства создают шифрованный канал передачи данных и по терминологии сетей ViPNet называются защищенными узлами сети. При организации взаимодействия открытых узлов сети Участника ИС ЕЦК и информационных ресурсов, размещенных в ЗС, применяется механизм туннелирования трафика. В режиме туннелирования передаваемые данные остаются незащищенными только на участке от АРМ Участника ИС ЕЦК до его ViPNet Coordinator, в дальнейшем все данные подвергаются шифрованию. Количество туннелируемых узлов определяется конфигурацией оборудования. На АРМ Участника ИС ЕЦК, с установленным ПО ViPNet Client, шифрование данных при передаче осуществляется постоянно при подключении АРМ к 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подключения к защищенной сети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Предусматривается два варианта подключения к ЗС в зависимости от наличия или отсутствия у Участника ИС ЕЦК собственной защищенной сети ViPNet.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При отсутствии у Участника ИС ЕЦК собственной защищенной сети ViPNet для подключения Участник ИС ЕЦК самостоятельно, за свой счет приобретает ПАК ViPNet Coordinator или ПО ViPNet Client.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5.1.1. Подключение сетевых узлов Участника ИС ЕЦК к ЗС осуществляется на основе </w:t>
      </w:r>
      <w:hyperlink w:history="0" w:anchor="P117" w:tooltip="ЗАЯВКА">
        <w:r>
          <w:rPr>
            <w:sz w:val="20"/>
            <w:color w:val="0000ff"/>
          </w:rPr>
          <w:t xml:space="preserve">заявок</w:t>
        </w:r>
      </w:hyperlink>
      <w:r>
        <w:rPr>
          <w:sz w:val="20"/>
        </w:rPr>
        <w:t xml:space="preserve"> (письменных обращений) по форме согласно Приложению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5.1.2. Заявка на подключение сетевых узлов к ЗС, подписанная руководителем Участника ИС ЕЦК, направляется в адрес Администратора сети N 20581.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5.1.3. Администратор сети N 20581 в течение 5 рабочих дней со дня получения заявки проводит проверку технической возможности подключения сетевых узлов Участника ИС ЕЦК к ЗС.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5.1.4. Решение о подключении сетевых узлов Участника ИС ЕЦК к ЗС или мотивированный отказ в подключении направляется в письменной форме Участнику ИС ЕЦК в течение 3 рабочих дней со дня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5.1.5. При принятии положительного решения о подключении сетевых узлов Участника ИС ЕЦК к ЗС Администратор сети N 20581 в течение 3 рабочих дней: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регистрацию сетевых узлов Участника ИС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дистрибутивы ключей для сетевых узлов Участника ИС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уведомляет Участника ИС ЕЦК о формировании дистрибутивов ключей;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передает под роспись в журнале учета выдачи ключевых документов дистрибутивы ключей Участнику ИС ЕЦК при явке представителя Участника ИС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При наличии у Участника ИС ЕЦК собственной защищенной сети ViPNet Участник ИС ЕЦК направляет Администратору сети N 20581 </w:t>
      </w:r>
      <w:hyperlink w:history="0" w:anchor="P163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(письменное обращение) по форме согласно Приложению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Администратор сети N 20581 в течение 5 рабочих дней со дня получения заявки проводит проверку технической возможности межсетевого взаимодействия ЗС с VipNet сетью Участника ИС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Решение о межсетевом взаимодействии с VipNet сетью Участника ИС ЕЦК или мотивированный отказ направляется в письменной форме Участнику ИС ЕЦК в течение 3 рабочих дней со дня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При положительном решении между Администратором сети N 20581 и Участником ИС ЕЦК заключается Соглашение о межсетевом взаимодействии VipNet сетей (далее - Соглашение). Подписанное Участником ИС ЕЦК Соглашение в двух экземплярах направляется в адрес Администратора сети N 20581. Оператор Цифрового сервиса ЕЦК совместно с Участником ИС ЕЦК осуществляет настройку межсетевого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При модернизации ЗС, настройки и порядок подключения к ЗС уточняются Участником ИС ЕЦК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Дополнительные данные о наличии у Участника ИС ЕЦК регистрационных файлов подключаемых защищенных узлов могут запрашиваться у Участника ИС ЕЦК Администратором сети N 20581 в рабочем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Требования по защите информации к АРМ Участника ИС ЕЦК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В соответствии с </w:t>
      </w:r>
      <w:hyperlink w:history="0" w:anchor="P60" w:tooltip="3.2. ЗС обеспечивает выполнение требований безопасности по передаче информации ограниченного доступа и персональных данных уровня защищенности УЗ3, не содержащие сведения, составляющие государственную тайну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настоящих Технических требований ЗС позволяет передавать информацию ограниченного доступа и персональные данные уровня защищенности УЗ3.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 целях исполнения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Федерального </w:t>
      </w:r>
      <w:hyperlink w:history="0" r:id="rId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г. N 152-ФЗ "О персональных данных";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0" w:tooltip="Приказ ФСТЭК России от 18.02.2013 N 21 (ред. от 14.05.2020) &quot;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&quot; (Зарегистрировано в Минюсте России 14.05.2013 N 28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ФСТЭК N 21 от 18 февраля 2013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1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 ноября 2012 г. N 1119 "Требования к защите персональных данных при их обработке в информационных системах персональных данных"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ЗС допускается подключение АРМ Участника ИС ЕЦК с установленным ПО ViPNet Client и АРМ Участника ИС ЕЦК, находящиеся за ViPNet Coordinator, со следующим минимальным набором средств защиты: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средства антивирусной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средства защиты от несанкционированного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Указанные в </w:t>
      </w:r>
      <w:hyperlink w:history="0" w:anchor="P93" w:tooltip="6.2. В целях исполнения требований:">
        <w:r>
          <w:rPr>
            <w:sz w:val="20"/>
            <w:color w:val="0000ff"/>
          </w:rPr>
          <w:t xml:space="preserve">пункте 6.2</w:t>
        </w:r>
      </w:hyperlink>
      <w:r>
        <w:rPr>
          <w:sz w:val="20"/>
        </w:rPr>
        <w:t xml:space="preserve"> настоящих Технических требований средства защиты должны быть не ниже 6 класса и 6 уровня доверия и иметь действующий сертификат ФСТЭК России по требованиям безопасности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 используемые СКЗИ ViPNet Client и ViPNet Coordinator у Участника ИС ЕЦК, при подаче заявки, должны быть действующие сертификаты ФСБ России, а также эксплуатационная документация и формуляры СКЗИ.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техническим требованиям</w:t>
      </w:r>
    </w:p>
    <w:p>
      <w:pPr>
        <w:pStyle w:val="0"/>
        <w:jc w:val="right"/>
      </w:pPr>
      <w:r>
        <w:rPr>
          <w:sz w:val="20"/>
        </w:rPr>
        <w:t xml:space="preserve">для присоединения к информационной</w:t>
      </w:r>
    </w:p>
    <w:p>
      <w:pPr>
        <w:pStyle w:val="0"/>
        <w:jc w:val="right"/>
      </w:pPr>
      <w:r>
        <w:rPr>
          <w:sz w:val="20"/>
        </w:rPr>
        <w:t xml:space="preserve">системе "Единая цифровая карта жителя</w:t>
      </w:r>
    </w:p>
    <w:p>
      <w:pPr>
        <w:pStyle w:val="0"/>
        <w:jc w:val="right"/>
      </w:pPr>
      <w:r>
        <w:rPr>
          <w:sz w:val="20"/>
        </w:rPr>
        <w:t xml:space="preserve">Рязанской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Генеральному директору</w:t>
      </w:r>
    </w:p>
    <w:p>
      <w:pPr>
        <w:pStyle w:val="0"/>
        <w:jc w:val="right"/>
      </w:pPr>
      <w:r>
        <w:rPr>
          <w:sz w:val="20"/>
        </w:rPr>
        <w:t xml:space="preserve">ООО "РЕСУРСЫ ПАРТНЕРОВ РЯЗАНЬ"</w:t>
      </w:r>
    </w:p>
    <w:p>
      <w:pPr>
        <w:pStyle w:val="0"/>
        <w:jc w:val="right"/>
      </w:pPr>
      <w:r>
        <w:rPr>
          <w:sz w:val="20"/>
        </w:rPr>
        <w:t xml:space="preserve">_______________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подключение к защищенной сети ViPNet N 20581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наименование организации/индивидуального предпринимателя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лице____________________________________________________________________,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должность, Ф.И.О.</w:t>
      </w:r>
    </w:p>
    <w:p>
      <w:pPr>
        <w:pStyle w:val="1"/>
        <w:jc w:val="both"/>
      </w:pPr>
      <w:r>
        <w:rPr>
          <w:sz w:val="20"/>
        </w:rPr>
        <w:t xml:space="preserve">просит  осуществить  подключение  сетевого  узла  к  защищенной сети ViPNet</w:t>
      </w:r>
    </w:p>
    <w:p>
      <w:pPr>
        <w:pStyle w:val="1"/>
        <w:jc w:val="both"/>
      </w:pPr>
      <w:r>
        <w:rPr>
          <w:sz w:val="20"/>
        </w:rPr>
        <w:t xml:space="preserve">N 20581: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4"/>
        <w:gridCol w:w="5879"/>
        <w:gridCol w:w="2268"/>
      </w:tblGrid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Имя сетевого узла ViPNet Client или ViPNet Coordinator (заполняется при подключении администратором сети)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 Участника ИС ЕЦК (организации/индивидуального предпринимателя, подключаемой к защищенной сети)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Ф.И.О. сотрудника(ов), рабочее место которого(ых) подключается к защищенной сети с указанием должности, контактного телефона, электронной почты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установки узла защищенной сети (район, город (поселение), улица, дом, кабинет)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Ф.И.О. сотрудника, ответственного за организацию подключения со стороны Участника ИС ЕЦК, с указанием должности, контактного телефона, электронной почты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Выполнение требований по защите информации</w:t>
      </w:r>
    </w:p>
    <w:p>
      <w:pPr>
        <w:pStyle w:val="1"/>
        <w:jc w:val="both"/>
      </w:pPr>
      <w:r>
        <w:rPr>
          <w:sz w:val="20"/>
        </w:rPr>
        <w:t xml:space="preserve">и персональных данных на подключаемом</w:t>
      </w:r>
    </w:p>
    <w:p>
      <w:pPr>
        <w:pStyle w:val="1"/>
        <w:jc w:val="both"/>
      </w:pPr>
      <w:r>
        <w:rPr>
          <w:sz w:val="20"/>
        </w:rPr>
        <w:t xml:space="preserve">рабочем месте (местах) подтверждаю.</w:t>
      </w:r>
    </w:p>
    <w:p>
      <w:pPr>
        <w:pStyle w:val="1"/>
        <w:jc w:val="both"/>
      </w:pPr>
      <w:r>
        <w:rPr>
          <w:sz w:val="20"/>
        </w:rPr>
        <w:t xml:space="preserve">___________________/_______________/</w:t>
      </w:r>
    </w:p>
    <w:p>
      <w:pPr>
        <w:pStyle w:val="1"/>
        <w:jc w:val="both"/>
      </w:pPr>
      <w:r>
        <w:rPr>
          <w:sz w:val="20"/>
        </w:rPr>
        <w:t xml:space="preserve">    должность           Ф.И.О.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техническим требованиям</w:t>
      </w:r>
    </w:p>
    <w:p>
      <w:pPr>
        <w:pStyle w:val="0"/>
        <w:jc w:val="right"/>
      </w:pPr>
      <w:r>
        <w:rPr>
          <w:sz w:val="20"/>
        </w:rPr>
        <w:t xml:space="preserve">для присоединения к информационной</w:t>
      </w:r>
    </w:p>
    <w:p>
      <w:pPr>
        <w:pStyle w:val="0"/>
        <w:jc w:val="right"/>
      </w:pPr>
      <w:r>
        <w:rPr>
          <w:sz w:val="20"/>
        </w:rPr>
        <w:t xml:space="preserve">системе "Единая цифровая карта</w:t>
      </w:r>
    </w:p>
    <w:p>
      <w:pPr>
        <w:pStyle w:val="0"/>
        <w:jc w:val="right"/>
      </w:pPr>
      <w:r>
        <w:rPr>
          <w:sz w:val="20"/>
        </w:rPr>
        <w:t xml:space="preserve">жителя Рязанской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Генеральному директору</w:t>
      </w:r>
    </w:p>
    <w:p>
      <w:pPr>
        <w:pStyle w:val="0"/>
        <w:jc w:val="right"/>
      </w:pPr>
      <w:r>
        <w:rPr>
          <w:sz w:val="20"/>
        </w:rPr>
        <w:t xml:space="preserve">ООО "РЕСУРСЫ ПАРТНЕРОВ РЯЗАНЬ"</w:t>
      </w:r>
    </w:p>
    <w:p>
      <w:pPr>
        <w:pStyle w:val="0"/>
        <w:jc w:val="right"/>
      </w:pPr>
      <w:r>
        <w:rPr>
          <w:sz w:val="20"/>
        </w:rPr>
        <w:t xml:space="preserve">_______________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о межсетевом взаимодействии ViPNet-сетей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наименование организации / индивидуального предпринимателя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лице____________________________________________________________________,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должность, Ф.И.О.</w:t>
      </w:r>
    </w:p>
    <w:p>
      <w:pPr>
        <w:pStyle w:val="1"/>
        <w:jc w:val="both"/>
      </w:pPr>
      <w:r>
        <w:rPr>
          <w:sz w:val="20"/>
        </w:rPr>
        <w:t xml:space="preserve">просит  осуществить  межсетевое  взаимодействие сети ViPNet N _____ с сетью</w:t>
      </w:r>
    </w:p>
    <w:p>
      <w:pPr>
        <w:pStyle w:val="1"/>
        <w:jc w:val="both"/>
      </w:pPr>
      <w:r>
        <w:rPr>
          <w:sz w:val="20"/>
        </w:rPr>
        <w:t xml:space="preserve">ViPNet N 20581: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4"/>
        <w:gridCol w:w="5879"/>
        <w:gridCol w:w="2154"/>
      </w:tblGrid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ViPNet Coordinator в защищенной сети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N защищенной сети VipNet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установки ViPNet Coordinator защищенной сети (район, город (поселение), улица, дом, кабинет)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79" w:type="dxa"/>
          </w:tcPr>
          <w:p>
            <w:pPr>
              <w:pStyle w:val="0"/>
            </w:pPr>
            <w:r>
              <w:rPr>
                <w:sz w:val="20"/>
              </w:rPr>
              <w:t xml:space="preserve">Ф.И.О. сотрудника, ответственного за организацию межсетевого взаимодействия со стороны Участника ИС ЕЦК, с указанием должности, контактного телефона, электронной почты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Выполнение требований по защите информации</w:t>
      </w:r>
    </w:p>
    <w:p>
      <w:pPr>
        <w:pStyle w:val="1"/>
        <w:jc w:val="both"/>
      </w:pPr>
      <w:r>
        <w:rPr>
          <w:sz w:val="20"/>
        </w:rPr>
        <w:t xml:space="preserve">и персональных данных на подключаемом рабочем</w:t>
      </w:r>
    </w:p>
    <w:p>
      <w:pPr>
        <w:pStyle w:val="1"/>
        <w:jc w:val="both"/>
      </w:pPr>
      <w:r>
        <w:rPr>
          <w:sz w:val="20"/>
        </w:rPr>
        <w:t xml:space="preserve">месте (местах)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 /_______________/</w:t>
      </w:r>
    </w:p>
    <w:p>
      <w:pPr>
        <w:pStyle w:val="1"/>
        <w:jc w:val="both"/>
      </w:pPr>
      <w:r>
        <w:rPr>
          <w:sz w:val="20"/>
        </w:rPr>
        <w:t xml:space="preserve">         должность             Ф.И.О.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министерства цифрового развития,</w:t>
      </w:r>
    </w:p>
    <w:p>
      <w:pPr>
        <w:pStyle w:val="0"/>
        <w:jc w:val="right"/>
      </w:pPr>
      <w:r>
        <w:rPr>
          <w:sz w:val="20"/>
        </w:rPr>
        <w:t xml:space="preserve">информационных технологий и связи</w:t>
      </w:r>
    </w:p>
    <w:p>
      <w:pPr>
        <w:pStyle w:val="0"/>
        <w:jc w:val="right"/>
      </w:pPr>
      <w:r>
        <w:rPr>
          <w:sz w:val="20"/>
        </w:rPr>
        <w:t xml:space="preserve">Рязанской области</w:t>
      </w:r>
    </w:p>
    <w:p>
      <w:pPr>
        <w:pStyle w:val="0"/>
        <w:jc w:val="right"/>
      </w:pPr>
      <w:r>
        <w:rPr>
          <w:sz w:val="20"/>
        </w:rPr>
        <w:t xml:space="preserve">от 17 апреля 2023 г. N 4</w:t>
      </w:r>
    </w:p>
    <w:p>
      <w:pPr>
        <w:pStyle w:val="0"/>
        <w:jc w:val="both"/>
      </w:pPr>
      <w:r>
        <w:rPr>
          <w:sz w:val="20"/>
        </w:rPr>
      </w:r>
    </w:p>
    <w:bookmarkStart w:id="204" w:name="P204"/>
    <w:bookmarkEnd w:id="20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ИНФОРМАЦИОННОГО ОБМЕНА МЕЖДУ УЧАСТНИКАМИ ИС ЕЦК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порядок информационного обмена в электронной форме между информационными системами участников ИС ЕЦК, используемых для предоставления мер социальной поддержки, социальных, медицинских, транспортных и иных услуг, предусмотренных законодательством Рязанской области, с использованием ЕЦК (далее - информационный обмен).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Информационный обмен осуществляется в соответствии с </w:t>
      </w:r>
      <w:hyperlink w:history="0" r:id="rId12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 октября 2022 г. N 380 "О реализации цифрового сервиса "Единая цифровая карта жителя Рязанской области", </w:t>
      </w:r>
      <w:hyperlink w:history="0" r:id="rId13" w:tooltip="Постановление Минцифры Рязанской области от 24.11.2022 N 2 &quot;Об утверждении технических требований к карте цифрового сервиса &quot;Единая цифровая карта жителя Ряз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министерства цифрового развития, информационных технологий и связи Рязанской области от 24 ноября 2022 г. N 2 "Об утверждении технических требований к карте цифрового сервиса "Единая цифровая карта жителя Рязанской области", иными нормативными правовыми актами Российской Федерации и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Понятия, термины и определения, используемые в настоящем Порядке, употребляются в том значении и смысле, в которых они определены в </w:t>
      </w:r>
      <w:hyperlink w:history="0" r:id="rId14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Постановлении</w:t>
        </w:r>
      </w:hyperlink>
      <w:r>
        <w:rPr>
          <w:sz w:val="20"/>
        </w:rPr>
        <w:t xml:space="preserve"> Правительства Рязанской области от 25 октября 2022 г.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Участниками информационного обмена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оператор Цифрового сервиса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функциональные заказчики приложений (сервисов)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банки-эмитенты;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партнеры приложений (сервисов)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Участники ИС ЕЦК, являющиеся участниками информационного обмена, осуществляют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поставщиков документов и (или) информации (далее - сведения) (участник ИС ЕЦК, в распоряжении которого находятся сведения, предоставляет их участнику ИС ЕЦК для предоставления мер социальной поддержки, социальных, медицинских, транспортных и иных услуг, предусмотренных законодательством Рязанской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потребителей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Поставщик сведений с использованием информационной системы участника ИС ЕЦК, оператором которой поставщик сведений является, осуществляет предоставление сведений потребителю сведений в рамках информационного обмена.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Потребитель сведений с использованием информационной системы участника ИС ЕЦК, оператором которой потребитель сведений является, получает сведения от поставщика сведений в рамках информационного обмена.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Администратором информационного обмена в ИС ЕЦК является оператор Цифрового сервиса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Получение сведений осуществляется посредством информационных запросов в соответствии с функциональными возможностями ИС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Поставщик сведений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1.10.1. соблюдение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1.10.2. непрерывный контроль функционирования информационных систем участника ИС ЕЦК, оператором которых поставщик сведений является;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1.10.3. передачу сведений потребителям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1.10.4. качество и достоверность предоставляемых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Потребитель сведений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1.11.1. соблюдение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1.11.2. непрерывный контроль функционирования информационных систем участника ИС ЕЦК, оператором которых потребитель сведений является.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Администратор информационного обмена: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1.12.1. обеспечивает контроль за соблюдением настоящего Порядка поставщиками сведений и потребителями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1.12.2. определяет порядок работы участников ИС ЕЦК, являющихся участниками информационного обмена, в инфраструктуре, обеспечивающей информационный обмен информационных систем участников ИС ЕЦК, в рамках настоящего Порядка и соглашения об информационном обмене;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1.12.3. обеспечивает разработку технических требований для присоединения к ИС ЕЦК, а также мониторинг их соблюдения.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Получение сведений инициируется посредством направления информационных запросов потребителем сведений и завершается получением потребителем сведений от поставщика сведений ответа на информационный запрос, содержащий запрашиваемые сведения и (или) информацию о причинах невозможности предоставления сведений по информационному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Информационный обмен осуществляется в электронной форме. Информационный обмен может осуществляться на бумажном носителе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1.14.1. при невозможности осуществления информационного обмена в электронной форме в связи с отсутствием запрашиваемых сведений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1.14.2. при необходимости представления оригиналов документов на бумажном носителе при направлении информационного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Информационный обмен может осуществляться путем электронного документооборота (ЭДО), если данный вид обмена предусмотрен соглашением об информационном обмене.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1.16. Информационный обмен осуществляется в соответствии с форматами сведений, разработанными в соответствии с техническими требованиями для присоединения к ИС ЕЦК и соглашением об информационном обмене.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1.17. Срок предоставления сведений при информационном обмене не должен превышать 48 часов с момента направления информационного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1.18. Порядок рассмотрения разногласий между участниками ИС ЕЦК регулируется соглашением об информационном обмене.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1.19. Изменения в настоящий Порядок вносятся по инициативе оператора Цифрового сервиса ЕЦК, уполномоченного органа. При внесении изменений в настоящий Порядок оператор Цифрового сервиса ЕЦК, уполномоченный орган обязаны довести изменения в Порядок до участников ИС ЕЦК не менее чем за 3 (три) рабочих дня до даты ввода в действие изменений. Уведомление осуществляется путем размещения информационного сообщения на информационном ресурсе оператора Цифрового сервиса ЕЦК. Изменения в Порядок утверждаются уполномоченным органом.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Минцифры Рязанской области от 17.04.2023 N 4</w:t>
            <w:br/>
            <w:t>"Об утверждении технических требований для присоединения к 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D1CE1183B272B2E86128A96486A6CA96504A8D9EE9E789C97473AA05F5538149354975F5EDFE9CAD033FA51E6C253F508LEXAL" TargetMode = "External"/>
	<Relationship Id="rId8" Type="http://schemas.openxmlformats.org/officeDocument/2006/relationships/hyperlink" Target="consultantplus://offline/ref=8D1CE1183B272B2E86128A96486A6CA96504A8D9E996729F94433AA05F5538149354975F4CDFB1C6D13AE450E5D705A44EBBF8D2DDD456E2AB8A95CBL2XDL" TargetMode = "External"/>
	<Relationship Id="rId9" Type="http://schemas.openxmlformats.org/officeDocument/2006/relationships/hyperlink" Target="consultantplus://offline/ref=8D1CE1183B272B2E8612949B5E0632A3620CFFD6ED967BCFCB133CF700053E41C114C9060E92A2C7D224E651E7LDX8L" TargetMode = "External"/>
	<Relationship Id="rId10" Type="http://schemas.openxmlformats.org/officeDocument/2006/relationships/hyperlink" Target="consultantplus://offline/ref=8D1CE1183B272B2E8612949B5E0632A3650AF0DCE89E7BCFCB133CF700053E41C114C9060E92A2C7D224E651E7LDX8L" TargetMode = "External"/>
	<Relationship Id="rId11" Type="http://schemas.openxmlformats.org/officeDocument/2006/relationships/hyperlink" Target="consultantplus://offline/ref=8D1CE1183B272B2E8612949B5E0632A3670CF1D7E8917BCFCB133CF700053E41C114C9060E92A2C7D224E651E7LDX8L" TargetMode = "External"/>
	<Relationship Id="rId12" Type="http://schemas.openxmlformats.org/officeDocument/2006/relationships/hyperlink" Target="consultantplus://offline/ref=8D1CE1183B272B2E86128A96486A6CA96504A8D9EE9E789C97473AA05F5538149354975F5EDFE9CAD033FA51E6C253F508LEXAL" TargetMode = "External"/>
	<Relationship Id="rId13" Type="http://schemas.openxmlformats.org/officeDocument/2006/relationships/hyperlink" Target="consultantplus://offline/ref=8D1CE1183B272B2E86128A96486A6CA96504A8D9EE90789B974F3AA05F5538149354975F5EDFE9CAD033FA51E6C253F508LEXAL" TargetMode = "External"/>
	<Relationship Id="rId14" Type="http://schemas.openxmlformats.org/officeDocument/2006/relationships/hyperlink" Target="consultantplus://offline/ref=4B6E005181F9931442DBEAB5D01B0DAF5EE128391ADCECA1B9512A86B370CED12405CB655DA159B0CEA069CD89058DD5FFM3X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Минцифры Рязанской области от 17.04.2023 N 4
"Об утверждении технических требований для присоединения к информационной системе "Единая цифровая карта жителя Рязанской области" и порядка информационного обмена в электронной форме между информационными системами участников информационной системы "Единая цифровая карта жителя Рязанской области"</dc:title>
  <dcterms:created xsi:type="dcterms:W3CDTF">2024-03-19T11:23:11Z</dcterms:created>
</cp:coreProperties>
</file>