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Рязанской области от 25.10.2022 N 380</w:t>
              <w:br/>
              <w:t xml:space="preserve">(ред. от 14.01.2025)</w:t>
              <w:br/>
              <w:t xml:space="preserve">"О реализации цифрового сервиса "Единая цифровая карта жителя Рязанской области"</w:t>
              <w:br/>
              <w:t xml:space="preserve">(вместе с "Положением об универсальном платежно-сервисном инструменте для населения Рязанской области...", "Условиями участия кредитной организации в качестве банка-эмитента ЕЦК", "Положением об операторе цифрового сервиса ЕЦК")</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РЯЗАНСКОЙ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25 октября 2022 г. N 380</w:t>
      </w:r>
    </w:p>
    <w:p>
      <w:pPr>
        <w:pStyle w:val="2"/>
        <w:jc w:val="both"/>
      </w:pPr>
      <w:r>
        <w:rPr>
          <w:sz w:val="20"/>
        </w:rPr>
      </w:r>
    </w:p>
    <w:p>
      <w:pPr>
        <w:pStyle w:val="2"/>
        <w:jc w:val="center"/>
      </w:pPr>
      <w:r>
        <w:rPr>
          <w:sz w:val="20"/>
        </w:rPr>
        <w:t xml:space="preserve">О РЕАЛИЗАЦИИ ЦИФРОВОГО СЕРВИСА "ЕДИНАЯ ЦИФРОВАЯ КАРТА ЖИТЕЛЯ</w:t>
      </w:r>
    </w:p>
    <w:p>
      <w:pPr>
        <w:pStyle w:val="2"/>
        <w:jc w:val="center"/>
      </w:pPr>
      <w:r>
        <w:rPr>
          <w:sz w:val="20"/>
        </w:rPr>
        <w:t xml:space="preserve">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Рязанской области</w:t>
            </w:r>
          </w:p>
          <w:p>
            <w:pPr>
              <w:pStyle w:val="0"/>
              <w:jc w:val="center"/>
            </w:pPr>
            <w:r>
              <w:rPr>
                <w:sz w:val="20"/>
                <w:color w:val="392c69"/>
              </w:rPr>
              <w:t xml:space="preserve">от 27.06.2023 </w:t>
            </w:r>
            <w:hyperlink w:history="0" r:id="rId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N 250</w:t>
              </w:r>
            </w:hyperlink>
            <w:r>
              <w:rPr>
                <w:sz w:val="20"/>
                <w:color w:val="392c69"/>
              </w:rPr>
              <w:t xml:space="preserve">, от 23.04.2024 </w:t>
            </w:r>
            <w:hyperlink w:history="0" r:id="rId8"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0"/>
                  <w:color w:val="0000ff"/>
                </w:rPr>
                <w:t xml:space="preserve">N 121</w:t>
              </w:r>
            </w:hyperlink>
            <w:r>
              <w:rPr>
                <w:sz w:val="20"/>
                <w:color w:val="392c69"/>
              </w:rPr>
              <w:t xml:space="preserve">, от 14.01.2025 </w:t>
            </w:r>
            <w:hyperlink w:history="0" r:id="rId9"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0"/>
                  <w:color w:val="0000ff"/>
                </w:rPr>
                <w:t xml:space="preserve">N 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соглашением о сотрудничестве между Правительством Рязанской области и акционерным обществом "Национальная система платежных карт" от 16 июня 2022 г. N 63-1, в целях социально-экономического развития Рязанской области, совершенствования предоставления мер социальной поддержки, предусмотренных законодательством Рязанской области, создания универсального платежно-сервисного инструмента для населения Рязанской области - цифрового сервиса "Единая цифровая карта жителя Рязанской области" Правительство Рязанской области постановляет:</w:t>
      </w:r>
    </w:p>
    <w:p>
      <w:pPr>
        <w:pStyle w:val="0"/>
        <w:spacing w:before="200" w:line-rule="auto"/>
        <w:ind w:firstLine="540"/>
        <w:jc w:val="both"/>
      </w:pPr>
      <w:r>
        <w:rPr>
          <w:sz w:val="20"/>
        </w:rPr>
        <w:t xml:space="preserve">1. Утвердить </w:t>
      </w:r>
      <w:hyperlink w:history="0" w:anchor="P37" w:tooltip="ПОЛОЖЕНИЕ">
        <w:r>
          <w:rPr>
            <w:sz w:val="20"/>
            <w:color w:val="0000ff"/>
          </w:rPr>
          <w:t xml:space="preserve">Положение</w:t>
        </w:r>
      </w:hyperlink>
      <w:r>
        <w:rPr>
          <w:sz w:val="20"/>
        </w:rPr>
        <w:t xml:space="preserve"> об универсальном платежно-сервисном инструменте для населения Рязанской области - цифровом сервисе "Единая цифровая карта жителя Рязанской области" (далее - Цифровой сервис ЕЦК) согласно приложению.</w:t>
      </w:r>
    </w:p>
    <w:p>
      <w:pPr>
        <w:pStyle w:val="0"/>
        <w:spacing w:before="200" w:line-rule="auto"/>
        <w:ind w:firstLine="540"/>
        <w:jc w:val="both"/>
      </w:pPr>
      <w:r>
        <w:rPr>
          <w:sz w:val="20"/>
        </w:rPr>
        <w:t xml:space="preserve">2. Определить министерство цифрового развития, информационных технологий и связи Рязанской области уполномоченным на внедрение, функционирование, модернизацию и развитие Цифрового сервиса ЕЦК.</w:t>
      </w:r>
    </w:p>
    <w:p>
      <w:pPr>
        <w:pStyle w:val="0"/>
        <w:spacing w:before="200" w:line-rule="auto"/>
        <w:ind w:firstLine="540"/>
        <w:jc w:val="both"/>
      </w:pPr>
      <w:r>
        <w:rPr>
          <w:sz w:val="20"/>
        </w:rPr>
        <w:t xml:space="preserve">3. Министерству экономического развития Рязанской области осуществить информирование предприятий розничной торговли, общественного питания и бытового обслуживания, осуществляющих деятельность на территории Рязанской области, о Цифровом сервисе ЕЦК.</w:t>
      </w:r>
    </w:p>
    <w:p>
      <w:pPr>
        <w:pStyle w:val="0"/>
        <w:spacing w:before="200" w:line-rule="auto"/>
        <w:ind w:firstLine="540"/>
        <w:jc w:val="both"/>
      </w:pPr>
      <w:r>
        <w:rPr>
          <w:sz w:val="20"/>
        </w:rPr>
        <w:t xml:space="preserve">4. Определить министерство транспорта и автомобильных дорог Рязанской области, министерство здравоохранения Рязанской области, министерство образования Рязанской области, министерство труда и социальной защиты населения Рязанской области функциональными заказчиками, осуществляющими информационное взаимодействие с оператором Цифрового сервиса ЕЦК в процессе функционирования соответствующих приложений (сервисов) Цифрового сервиса ЕЦК в курируемых сферах деятельности.</w:t>
      </w:r>
    </w:p>
    <w:p>
      <w:pPr>
        <w:pStyle w:val="0"/>
        <w:jc w:val="both"/>
      </w:pPr>
      <w:r>
        <w:rPr>
          <w:sz w:val="20"/>
        </w:rPr>
        <w:t xml:space="preserve">(в ред. </w:t>
      </w:r>
      <w:hyperlink w:history="0" r:id="rId1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5. Министерству цифрового развития, информационных технологий и связи Рязанской области:</w:t>
      </w:r>
    </w:p>
    <w:p>
      <w:pPr>
        <w:pStyle w:val="0"/>
        <w:spacing w:before="200" w:line-rule="auto"/>
        <w:ind w:firstLine="540"/>
        <w:jc w:val="both"/>
      </w:pPr>
      <w:r>
        <w:rPr>
          <w:sz w:val="20"/>
        </w:rPr>
        <w:t xml:space="preserve">- разработать и утвердить положение о конкурсном отборе оператора Цифрового сервиса ЕЦК;</w:t>
      </w:r>
    </w:p>
    <w:p>
      <w:pPr>
        <w:pStyle w:val="0"/>
        <w:spacing w:before="200" w:line-rule="auto"/>
        <w:ind w:firstLine="540"/>
        <w:jc w:val="both"/>
      </w:pPr>
      <w:r>
        <w:rPr>
          <w:sz w:val="20"/>
        </w:rPr>
        <w:t xml:space="preserve">- провести конкурсный отбор оператора Цифрового сервиса ЕЦК;</w:t>
      </w:r>
    </w:p>
    <w:p>
      <w:pPr>
        <w:pStyle w:val="0"/>
        <w:spacing w:before="200" w:line-rule="auto"/>
        <w:ind w:firstLine="540"/>
        <w:jc w:val="both"/>
      </w:pPr>
      <w:r>
        <w:rPr>
          <w:sz w:val="20"/>
        </w:rPr>
        <w:t xml:space="preserve">- разработать и утвердить технические требования к карте Цифрового сервиса ЕЦК.</w:t>
      </w:r>
    </w:p>
    <w:p>
      <w:pPr>
        <w:pStyle w:val="0"/>
        <w:spacing w:before="200" w:line-rule="auto"/>
        <w:ind w:firstLine="540"/>
        <w:jc w:val="both"/>
      </w:pPr>
      <w:r>
        <w:rPr>
          <w:sz w:val="20"/>
        </w:rPr>
        <w:t xml:space="preserve">6. Рекомендовать органам местного самоуправления муниципальных образований Рязанской области принять участие в качестве функциональных заказчиков, осуществляющих информационное взаимодействие с оператором Цифрового сервиса ЕЦК в процессе функционирования соответствующих приложений (сервисов) Цифрового сервиса ЕЦК.</w:t>
      </w:r>
    </w:p>
    <w:p>
      <w:pPr>
        <w:pStyle w:val="0"/>
        <w:spacing w:before="200" w:line-rule="auto"/>
        <w:ind w:firstLine="540"/>
        <w:jc w:val="both"/>
      </w:pPr>
      <w:r>
        <w:rPr>
          <w:sz w:val="20"/>
        </w:rPr>
        <w:t xml:space="preserve">7. Контроль за исполнением настоящего постановления возложить на заместителя Председателя Правительства Рязанской области (в сфере цифрового развития и спорта).</w:t>
      </w:r>
    </w:p>
    <w:p>
      <w:pPr>
        <w:pStyle w:val="0"/>
        <w:jc w:val="both"/>
      </w:pPr>
      <w:r>
        <w:rPr>
          <w:sz w:val="20"/>
        </w:rPr>
      </w:r>
    </w:p>
    <w:p>
      <w:pPr>
        <w:pStyle w:val="0"/>
        <w:jc w:val="right"/>
      </w:pPr>
      <w:r>
        <w:rPr>
          <w:sz w:val="20"/>
        </w:rPr>
        <w:t xml:space="preserve">Губернатор Рязанской области</w:t>
      </w:r>
    </w:p>
    <w:p>
      <w:pPr>
        <w:pStyle w:val="0"/>
        <w:jc w:val="right"/>
      </w:pPr>
      <w:r>
        <w:rPr>
          <w:sz w:val="20"/>
        </w:rPr>
        <w:t xml:space="preserve">П.В.МАЛКОВ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Рязанской области</w:t>
      </w:r>
    </w:p>
    <w:p>
      <w:pPr>
        <w:pStyle w:val="0"/>
        <w:jc w:val="right"/>
      </w:pPr>
      <w:r>
        <w:rPr>
          <w:sz w:val="20"/>
        </w:rPr>
        <w:t xml:space="preserve">от 25 октября 2022 г. N 380</w:t>
      </w:r>
    </w:p>
    <w:p>
      <w:pPr>
        <w:pStyle w:val="0"/>
        <w:jc w:val="both"/>
      </w:pPr>
      <w:r>
        <w:rPr>
          <w:sz w:val="20"/>
        </w:rPr>
      </w:r>
    </w:p>
    <w:bookmarkStart w:id="37" w:name="P37"/>
    <w:bookmarkEnd w:id="37"/>
    <w:p>
      <w:pPr>
        <w:pStyle w:val="2"/>
        <w:jc w:val="center"/>
      </w:pPr>
      <w:r>
        <w:rPr>
          <w:sz w:val="20"/>
        </w:rPr>
        <w:t xml:space="preserve">ПОЛОЖЕНИЕ</w:t>
      </w:r>
    </w:p>
    <w:p>
      <w:pPr>
        <w:pStyle w:val="2"/>
        <w:jc w:val="center"/>
      </w:pPr>
      <w:r>
        <w:rPr>
          <w:sz w:val="20"/>
        </w:rPr>
        <w:t xml:space="preserve">ОБ УНИВЕРСАЛЬНОМ ПЛАТЕЖНО-СЕРВИСНОМ ИНСТРУМЕНТЕ</w:t>
      </w:r>
    </w:p>
    <w:p>
      <w:pPr>
        <w:pStyle w:val="2"/>
        <w:jc w:val="center"/>
      </w:pPr>
      <w:r>
        <w:rPr>
          <w:sz w:val="20"/>
        </w:rPr>
        <w:t xml:space="preserve">ДЛЯ НАСЕЛЕНИЯ РЯЗАНСКОЙ ОБЛАСТИ - ЦИФРОВОМ СЕРВИСЕ</w:t>
      </w:r>
    </w:p>
    <w:p>
      <w:pPr>
        <w:pStyle w:val="2"/>
        <w:jc w:val="center"/>
      </w:pPr>
      <w:r>
        <w:rPr>
          <w:sz w:val="20"/>
        </w:rPr>
        <w:t xml:space="preserve">"ЕДИНАЯ ЦИФРОВАЯ КАРТА ЖИТЕЛЯ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Рязанской области</w:t>
            </w:r>
          </w:p>
          <w:p>
            <w:pPr>
              <w:pStyle w:val="0"/>
              <w:jc w:val="center"/>
            </w:pPr>
            <w:r>
              <w:rPr>
                <w:sz w:val="20"/>
                <w:color w:val="392c69"/>
              </w:rPr>
              <w:t xml:space="preserve">от 27.06.2023 </w:t>
            </w:r>
            <w:hyperlink w:history="0" r:id="rId11"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N 250</w:t>
              </w:r>
            </w:hyperlink>
            <w:r>
              <w:rPr>
                <w:sz w:val="20"/>
                <w:color w:val="392c69"/>
              </w:rPr>
              <w:t xml:space="preserve">, от 23.04.2024 </w:t>
            </w:r>
            <w:hyperlink w:history="0" r:id="rId12"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0"/>
                  <w:color w:val="0000ff"/>
                </w:rPr>
                <w:t xml:space="preserve">N 121</w:t>
              </w:r>
            </w:hyperlink>
            <w:r>
              <w:rPr>
                <w:sz w:val="20"/>
                <w:color w:val="392c69"/>
              </w:rPr>
              <w:t xml:space="preserve">, от 14.01.2025 </w:t>
            </w:r>
            <w:hyperlink w:history="0" r:id="rId13"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0"/>
                  <w:color w:val="0000ff"/>
                </w:rPr>
                <w:t xml:space="preserve">N 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Положение об универсальном платежно-сервисном инструменте для населения Рязанской области - цифровом сервисе "Единая цифровая карта жителя Рязанской области" (далее соответственно - Положение, Цифровой сервис ЕЦК) определяет цели, участников, состав приложений и порядок их использования, а также порядок выпуска, выдачи и обслуживания карт Цифрового сервиса ЕЦК (далее - ЕЦК).</w:t>
      </w:r>
    </w:p>
    <w:p>
      <w:pPr>
        <w:pStyle w:val="0"/>
        <w:spacing w:before="200" w:line-rule="auto"/>
        <w:ind w:firstLine="540"/>
        <w:jc w:val="both"/>
      </w:pPr>
      <w:r>
        <w:rPr>
          <w:sz w:val="20"/>
        </w:rPr>
        <w:t xml:space="preserve">1.2. Цифровой сервис ЕЦК вводится на территории Рязанской области в целях повышения эффективности, доступности и качества предоставления мер социальной поддержки, социальных, медицинских, транспортных и иных услуг, предусмотренных законодательством Рязанской области, на основе современных информационных технологий, а также обеспечения государственного контроля за использованием бюджетных средств, выделенных на предоставление мер социальной поддержки.</w:t>
      </w:r>
    </w:p>
    <w:p>
      <w:pPr>
        <w:pStyle w:val="0"/>
        <w:spacing w:before="200" w:line-rule="auto"/>
        <w:ind w:firstLine="540"/>
        <w:jc w:val="both"/>
      </w:pPr>
      <w:r>
        <w:rPr>
          <w:sz w:val="20"/>
        </w:rPr>
        <w:t xml:space="preserve">1.3. ЕЦК выпускается в виде национального платежного инструмента (платежной карты "Мир").</w:t>
      </w:r>
    </w:p>
    <w:p>
      <w:pPr>
        <w:pStyle w:val="0"/>
        <w:spacing w:before="200" w:line-rule="auto"/>
        <w:ind w:firstLine="540"/>
        <w:jc w:val="both"/>
      </w:pPr>
      <w:r>
        <w:rPr>
          <w:sz w:val="20"/>
        </w:rPr>
        <w:t xml:space="preserve">1.4. В настоящем Положении применяются следующие понятия:</w:t>
      </w:r>
    </w:p>
    <w:p>
      <w:pPr>
        <w:pStyle w:val="0"/>
        <w:spacing w:before="200" w:line-rule="auto"/>
        <w:ind w:firstLine="540"/>
        <w:jc w:val="both"/>
      </w:pPr>
      <w:r>
        <w:rPr>
          <w:sz w:val="20"/>
        </w:rPr>
        <w:t xml:space="preserve">- информационная система ЕЦК - автоматизированная информационная система учета предоставления предусмотренных законодательством Рязанской области мер социальной поддержки и дополнительных гарантий по социальной поддержке (далее - меры социальной поддержки), социальных, медицинских, транспортных и иных услуг (далее соответственно - социальные, медицинские, транспортные и иные услуги), участия в программах лояльности с использованием ЕЦК, содержащая сведения, подтверждающие право держателей ЕЦК на получение мер социальной поддержки (при наличии такого права), (далее - ИС ЕЦК);</w:t>
      </w:r>
    </w:p>
    <w:p>
      <w:pPr>
        <w:pStyle w:val="0"/>
        <w:jc w:val="both"/>
      </w:pPr>
      <w:r>
        <w:rPr>
          <w:sz w:val="20"/>
        </w:rPr>
        <w:t xml:space="preserve">(в ред. </w:t>
      </w:r>
      <w:hyperlink w:history="0" r:id="rId14"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0"/>
            <w:color w:val="0000ff"/>
          </w:rPr>
          <w:t xml:space="preserve">Постановления</w:t>
        </w:r>
      </w:hyperlink>
      <w:r>
        <w:rPr>
          <w:sz w:val="20"/>
        </w:rPr>
        <w:t xml:space="preserve"> Правительства Рязанской области от 14.01.2025 N 2)</w:t>
      </w:r>
    </w:p>
    <w:p>
      <w:pPr>
        <w:pStyle w:val="0"/>
        <w:spacing w:before="200" w:line-rule="auto"/>
        <w:ind w:firstLine="540"/>
        <w:jc w:val="both"/>
      </w:pPr>
      <w:r>
        <w:rPr>
          <w:sz w:val="20"/>
        </w:rPr>
        <w:t xml:space="preserve">- ЕЦК - материальный носитель (виртуальный носитель при наличии технической возможности и согласия заявителя), содержащий зафиксированную на нем информацию о держателе ЕЦК, в том числе подтверждающую право держателя ЕЦК на получение мер социальной поддержки (при наличии такого права), обеспечивающий получение мер социальной поддержки (в том числе в денежной форме с согласия держателя ЕЦК на открытый банковский счет в банке-эмитенте ЕЦК), социальных, медицинских, транспортных и иных услуг, участие в программах лояльности с использованием ЕЦК и соответствующий техническим требованиям к ЕЦК, утверждаемым министерством цифрового развития, информационных технологий и связи Рязанской области (далее - уполномоченный орган);</w:t>
      </w:r>
    </w:p>
    <w:p>
      <w:pPr>
        <w:pStyle w:val="0"/>
        <w:jc w:val="both"/>
      </w:pPr>
      <w:r>
        <w:rPr>
          <w:sz w:val="20"/>
        </w:rPr>
        <w:t xml:space="preserve">(в ред. </w:t>
      </w:r>
      <w:hyperlink w:history="0" r:id="rId15"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заявитель - гражданин Российской Федерации, или иностранный гражданин, или лицо без гражданства, имеющий(ее) место жительства (пребывания) на территории Рязанской области, достигший(ее) 14-летнего возраста и подавший(ее) заявление о выпуске ЕЦК;</w:t>
      </w:r>
    </w:p>
    <w:p>
      <w:pPr>
        <w:pStyle w:val="0"/>
        <w:jc w:val="both"/>
      </w:pPr>
      <w:r>
        <w:rPr>
          <w:sz w:val="20"/>
        </w:rPr>
        <w:t xml:space="preserve">(в ред. </w:t>
      </w:r>
      <w:hyperlink w:history="0" r:id="rId16"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держатель ЕЦК - гражданин Российской Федерации, или иностранный гражданин, лицо без гражданства, имеющий(ее) место жительства (пребывания) на территории Рязанской области и получивший(ее) ЕЦК в установленных настоящим Положением и банком-эмитентом порядках;</w:t>
      </w:r>
    </w:p>
    <w:p>
      <w:pPr>
        <w:pStyle w:val="0"/>
        <w:jc w:val="both"/>
      </w:pPr>
      <w:r>
        <w:rPr>
          <w:sz w:val="20"/>
        </w:rPr>
        <w:t xml:space="preserve">(в ред. </w:t>
      </w:r>
      <w:hyperlink w:history="0" r:id="rId1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идентификатор ЕЦК - уникальный номер ЕЦК, записанный на электронном носителе или в облачном сервисе ЕЦК, уникальная последовательность символов, предназначенная для обеспечения доступа держателя ЕЦК к получению мер социальной поддержки, социальных, медицинских, транспортных и иных услуг, а также к программам лояльности с использованием ЕЦК;</w:t>
      </w:r>
    </w:p>
    <w:p>
      <w:pPr>
        <w:pStyle w:val="0"/>
        <w:jc w:val="both"/>
      </w:pPr>
      <w:r>
        <w:rPr>
          <w:sz w:val="20"/>
        </w:rPr>
        <w:t xml:space="preserve">(в ред. </w:t>
      </w:r>
      <w:hyperlink w:history="0" r:id="rId18"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банковское платежное приложение ЕЦК (далее - расчетное приложение) - приложение (сервис), обеспечивающее доступ держателю ЕЦК к банковскому счету, открытому им в банке-эмитенте ЕЦК, и позволяющее:</w:t>
      </w:r>
    </w:p>
    <w:p>
      <w:pPr>
        <w:pStyle w:val="0"/>
        <w:spacing w:before="200" w:line-rule="auto"/>
        <w:ind w:firstLine="540"/>
        <w:jc w:val="both"/>
      </w:pPr>
      <w:r>
        <w:rPr>
          <w:sz w:val="20"/>
        </w:rPr>
        <w:t xml:space="preserve">осуществлять операции по пополнению/снятию наличных денежных средств;</w:t>
      </w:r>
    </w:p>
    <w:p>
      <w:pPr>
        <w:pStyle w:val="0"/>
        <w:spacing w:before="200" w:line-rule="auto"/>
        <w:ind w:firstLine="540"/>
        <w:jc w:val="both"/>
      </w:pPr>
      <w:r>
        <w:rPr>
          <w:sz w:val="20"/>
        </w:rPr>
        <w:t xml:space="preserve">оплачивать с использованием ЕЦК (реквизитов ЕЦК) в национальной системе платежных карт (далее - НСПК) товары, работы, услуги (в том числе транспортные услуги держателями ЕЦК, имеющими право на получение соответствующих мер социальной поддержки);</w:t>
      </w:r>
    </w:p>
    <w:p>
      <w:pPr>
        <w:pStyle w:val="0"/>
        <w:spacing w:before="200" w:line-rule="auto"/>
        <w:ind w:firstLine="540"/>
        <w:jc w:val="both"/>
      </w:pPr>
      <w:r>
        <w:rPr>
          <w:sz w:val="20"/>
        </w:rPr>
        <w:t xml:space="preserve">получать бонусы и скидки по программам лояльности у партнеров приложений (сервисов) ЕЦК;</w:t>
      </w:r>
    </w:p>
    <w:p>
      <w:pPr>
        <w:pStyle w:val="0"/>
        <w:jc w:val="both"/>
      </w:pPr>
      <w:r>
        <w:rPr>
          <w:sz w:val="20"/>
        </w:rPr>
        <w:t xml:space="preserve">(в ред. </w:t>
      </w:r>
      <w:hyperlink w:history="0" r:id="rId19"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0"/>
            <w:color w:val="0000ff"/>
          </w:rPr>
          <w:t xml:space="preserve">Постановления</w:t>
        </w:r>
      </w:hyperlink>
      <w:r>
        <w:rPr>
          <w:sz w:val="20"/>
        </w:rPr>
        <w:t xml:space="preserve"> Правительства Рязанской области от 14.01.2025 N 2)</w:t>
      </w:r>
    </w:p>
    <w:p>
      <w:pPr>
        <w:pStyle w:val="0"/>
        <w:spacing w:before="200" w:line-rule="auto"/>
        <w:ind w:firstLine="540"/>
        <w:jc w:val="both"/>
      </w:pPr>
      <w:r>
        <w:rPr>
          <w:sz w:val="20"/>
        </w:rPr>
        <w:t xml:space="preserve">- нефинансовые приложения ЕЦК (далее - нефинансовые приложения) - приложения (сервисы), обеспечивающие предоставление и получение держателем ЕЦК мер социальной поддержки, социальных, медицинских, транспортных и иных услуг, предусмотренных законодательством Рязанской области;</w:t>
      </w:r>
    </w:p>
    <w:p>
      <w:pPr>
        <w:pStyle w:val="0"/>
        <w:spacing w:before="200" w:line-rule="auto"/>
        <w:ind w:firstLine="540"/>
        <w:jc w:val="both"/>
      </w:pPr>
      <w:r>
        <w:rPr>
          <w:sz w:val="20"/>
        </w:rPr>
        <w:t xml:space="preserve">- программа лояльности - программа, разработанная партнерами приложений (сервисов) ЕЦК (далее - партнеры), направленная на увеличение активности клиентов в приобретении товаров, работ и услуг указанных партнеров, предусматривающая начисление бонусов (баллов, иных единиц, характеризующих активность клиента в приобретении товаров, работ и услуг указанных партнеров) посредством использования ЕЦК с расчетным приложением по основаниям, установленным в соответствующей программе, а также выплату (скидку), частичный возврат стоимости товаров, работ и услуг в зависимости от количества начисленных бонусов (баллов, иных единиц, характеризующих активность клиента в приобретении товаров, работ и услуг указанных партнеров);</w:t>
      </w:r>
    </w:p>
    <w:p>
      <w:pPr>
        <w:pStyle w:val="0"/>
        <w:spacing w:before="200" w:line-rule="auto"/>
        <w:ind w:firstLine="540"/>
        <w:jc w:val="both"/>
      </w:pPr>
      <w:r>
        <w:rPr>
          <w:sz w:val="20"/>
        </w:rPr>
        <w:t xml:space="preserve">- процессинг - деятельность оператора ЕЦК по обработке и учету информации при совершении операций с ЕЦК в рамках функционирования ИС ЕЦК;</w:t>
      </w:r>
    </w:p>
    <w:p>
      <w:pPr>
        <w:pStyle w:val="0"/>
        <w:spacing w:before="200" w:line-rule="auto"/>
        <w:ind w:firstLine="540"/>
        <w:jc w:val="both"/>
      </w:pPr>
      <w:r>
        <w:rPr>
          <w:sz w:val="20"/>
        </w:rPr>
        <w:t xml:space="preserve">- банк-эмитент ЕЦК - кредитная организация, соответствующая </w:t>
      </w:r>
      <w:hyperlink w:history="0" w:anchor="P179" w:tooltip="УСЛОВИЯ">
        <w:r>
          <w:rPr>
            <w:sz w:val="20"/>
            <w:color w:val="0000ff"/>
          </w:rPr>
          <w:t xml:space="preserve">условиям</w:t>
        </w:r>
      </w:hyperlink>
      <w:r>
        <w:rPr>
          <w:sz w:val="20"/>
        </w:rPr>
        <w:t xml:space="preserve"> участия кредитной организации в качестве банка-эмитента ЕЦК, предусмотренным приложением N 1 к настоящему Положению (далее - условия участия кредитной организации), заключившая соглашение о присоединении с оператором Цифрового сервиса ЕЦК и участвующая в выпуске, выдаче и обслуживании ЕЦК;</w:t>
      </w:r>
    </w:p>
    <w:p>
      <w:pPr>
        <w:pStyle w:val="0"/>
        <w:spacing w:before="200" w:line-rule="auto"/>
        <w:ind w:firstLine="540"/>
        <w:jc w:val="both"/>
      </w:pPr>
      <w:r>
        <w:rPr>
          <w:sz w:val="20"/>
        </w:rPr>
        <w:t xml:space="preserve">- оператор Цифрового сервиса ЕЦК - отобранное уполномоченным органом на конкурсной основе юридическое лицо для создания, ввода в эксплуатацию, функционирования и развития ИС ЕЦК, организации выпуска, выдачи и обслуживания ЕЦК (</w:t>
      </w:r>
      <w:hyperlink w:history="0" w:anchor="P207" w:tooltip="ПОЛОЖЕНИЕ">
        <w:r>
          <w:rPr>
            <w:sz w:val="20"/>
            <w:color w:val="0000ff"/>
          </w:rPr>
          <w:t xml:space="preserve">приложение N 2</w:t>
        </w:r>
      </w:hyperlink>
      <w:r>
        <w:rPr>
          <w:sz w:val="20"/>
        </w:rPr>
        <w:t xml:space="preserve"> к Положению);</w:t>
      </w:r>
    </w:p>
    <w:p>
      <w:pPr>
        <w:pStyle w:val="0"/>
        <w:spacing w:before="200" w:line-rule="auto"/>
        <w:ind w:firstLine="540"/>
        <w:jc w:val="both"/>
      </w:pPr>
      <w:r>
        <w:rPr>
          <w:sz w:val="20"/>
        </w:rPr>
        <w:t xml:space="preserve">- пункт обслуживания - место, организованное банком-эмитентом ЕЦК для приема заявлений о выпуске, перевыпуске, прекращении действия ЕЦК, для выдачи или блокировки ЕЦК на основании заключенного соглашения о присоединении к ИС ЕЦК;</w:t>
      </w:r>
    </w:p>
    <w:p>
      <w:pPr>
        <w:pStyle w:val="0"/>
        <w:jc w:val="both"/>
      </w:pPr>
      <w:r>
        <w:rPr>
          <w:sz w:val="20"/>
        </w:rPr>
        <w:t xml:space="preserve">(в ред. </w:t>
      </w:r>
      <w:hyperlink w:history="0" r:id="rId2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соглашение о присоединении к ИС ЕЦК (далее - соглашение о присоединении) - соглашение, заключаемое между оператором Цифрового сервиса ЕЦК и функциональными заказчиками приложений (сервисов), банком-эмитентом ЕЦК, партнерами приложений (сервисов) ЕЦК и иными участниками ИС ЕЦК, по форме, утверждаемой уполномоченным органом;</w:t>
      </w:r>
    </w:p>
    <w:p>
      <w:pPr>
        <w:pStyle w:val="0"/>
        <w:jc w:val="both"/>
      </w:pPr>
      <w:r>
        <w:rPr>
          <w:sz w:val="20"/>
        </w:rPr>
        <w:t xml:space="preserve">(в ред. </w:t>
      </w:r>
      <w:hyperlink w:history="0" r:id="rId21"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партнер приложений (сервисов) ЕЦК - организация, индивидуальный предприниматель или гражданин, уплачивающий налог на профессиональный доход (самозанятый гражданин), осуществляющие деятельность на потребительском рынке Рязанской области, в том числе в сфере розничной торговли, общественного питания и бытового обслуживания, сведения о которых включены оператором Цифрового сервиса ЕЦК в реестр партнеров приложений (сервисов) ЕЦК, предоставляющих держателю ЕЦК доступ к программам лояльности. Порядок ведения реестра партнеров приложений (сервисов) ЕЦК, предоставляющих держателю ЕЦК доступ к программам лояльности, устанавливается оператором Цифрового сервиса ЕЦК;</w:t>
      </w:r>
    </w:p>
    <w:p>
      <w:pPr>
        <w:pStyle w:val="0"/>
        <w:jc w:val="both"/>
      </w:pPr>
      <w:r>
        <w:rPr>
          <w:sz w:val="20"/>
        </w:rPr>
        <w:t xml:space="preserve">(в ред. </w:t>
      </w:r>
      <w:hyperlink w:history="0" r:id="rId22"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0"/>
            <w:color w:val="0000ff"/>
          </w:rPr>
          <w:t xml:space="preserve">Постановления</w:t>
        </w:r>
      </w:hyperlink>
      <w:r>
        <w:rPr>
          <w:sz w:val="20"/>
        </w:rPr>
        <w:t xml:space="preserve"> Правительства Рязанской области от 23.04.2024 N 121)</w:t>
      </w:r>
    </w:p>
    <w:p>
      <w:pPr>
        <w:pStyle w:val="0"/>
        <w:spacing w:before="200" w:line-rule="auto"/>
        <w:ind w:firstLine="540"/>
        <w:jc w:val="both"/>
      </w:pPr>
      <w:r>
        <w:rPr>
          <w:sz w:val="20"/>
        </w:rPr>
        <w:t xml:space="preserve">- функциональные заказчики приложений (сервисов) ЕЦК - исполнительные органы Рязанской области и подведомственные им учреждения, органы местного самоуправления муниципальных образований Рязанской области (по согласованию) и подведомственные им учреждения (по согласованию), осуществляющие информационное взаимодействие с оператором Цифрового сервиса ЕЦК в процессе функционирования соответствующих приложений (сервисов) Цифрового сервиса ЕЦК;</w:t>
      </w:r>
    </w:p>
    <w:p>
      <w:pPr>
        <w:pStyle w:val="0"/>
        <w:jc w:val="both"/>
      </w:pPr>
      <w:r>
        <w:rPr>
          <w:sz w:val="20"/>
        </w:rPr>
        <w:t xml:space="preserve">(в ред. Постановлений Правительства Рязанской области от 27.06.2023 </w:t>
      </w:r>
      <w:hyperlink w:history="0" r:id="rId23"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N 250</w:t>
        </w:r>
      </w:hyperlink>
      <w:r>
        <w:rPr>
          <w:sz w:val="20"/>
        </w:rPr>
        <w:t xml:space="preserve">, от 23.04.2024 </w:t>
      </w:r>
      <w:hyperlink w:history="0" r:id="rId24"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0"/>
            <w:color w:val="0000ff"/>
          </w:rPr>
          <w:t xml:space="preserve">N 121</w:t>
        </w:r>
      </w:hyperlink>
      <w:r>
        <w:rPr>
          <w:sz w:val="20"/>
        </w:rPr>
        <w:t xml:space="preserve">)</w:t>
      </w:r>
    </w:p>
    <w:p>
      <w:pPr>
        <w:pStyle w:val="0"/>
        <w:spacing w:before="200" w:line-rule="auto"/>
        <w:ind w:firstLine="540"/>
        <w:jc w:val="both"/>
      </w:pPr>
      <w:r>
        <w:rPr>
          <w:sz w:val="20"/>
        </w:rPr>
        <w:t xml:space="preserve">- соглашение об информационном обмене - соглашение, заключаемое между оператором Цифрового сервиса ЕЦК и функциональными заказчиками приложений (сервисов) ЕЦК, партнерами приложений (сервисов) ЕЦК, иными участниками ИС ЕЦК, устанавливающее сроки, порядок и форму обмена информацией, объем передаваемых сведений, необходимых для обеспечения работы соответствующего приложения (сервиса), по форме, утверждаемой оператором Цифрового сервиса ЕЦК;</w:t>
      </w:r>
    </w:p>
    <w:p>
      <w:pPr>
        <w:pStyle w:val="0"/>
        <w:jc w:val="both"/>
      </w:pPr>
      <w:r>
        <w:rPr>
          <w:sz w:val="20"/>
        </w:rPr>
        <w:t xml:space="preserve">(в ред. </w:t>
      </w:r>
      <w:hyperlink w:history="0" r:id="rId25"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иные участники ИС ЕЦК - исполнительные органы Рязанской области и подведомственные им учреждения, органы местного самоуправления муниципальных образований Рязанской области (по согласованию) и подведомственные им учреждения (по согласованию), не являющиеся функциональными заказчиками приложений (сервисов) ЕЦК, осуществляющие информационное взаимодействие с оператором Цифрового сервиса ЕЦК в соответствии с соглашением об информационном обмене в целях предоставления мер социальной поддержки, социальных, медицинских, транспортных и иных услуг, участия в программах лояльности с использованием ЕЦК.</w:t>
      </w:r>
    </w:p>
    <w:p>
      <w:pPr>
        <w:pStyle w:val="0"/>
        <w:jc w:val="both"/>
      </w:pPr>
      <w:r>
        <w:rPr>
          <w:sz w:val="20"/>
        </w:rPr>
        <w:t xml:space="preserve">(абзац введен </w:t>
      </w:r>
      <w:hyperlink w:history="0" r:id="rId26"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27.06.2023 N 250; в ред. </w:t>
      </w:r>
      <w:hyperlink w:history="0" r:id="rId27"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0"/>
            <w:color w:val="0000ff"/>
          </w:rPr>
          <w:t xml:space="preserve">Постановления</w:t>
        </w:r>
      </w:hyperlink>
      <w:r>
        <w:rPr>
          <w:sz w:val="20"/>
        </w:rPr>
        <w:t xml:space="preserve"> Правительства Рязанской области от 23.04.2024 N 121)</w:t>
      </w:r>
    </w:p>
    <w:p>
      <w:pPr>
        <w:pStyle w:val="0"/>
        <w:jc w:val="both"/>
      </w:pPr>
      <w:r>
        <w:rPr>
          <w:sz w:val="20"/>
        </w:rPr>
      </w:r>
    </w:p>
    <w:p>
      <w:pPr>
        <w:pStyle w:val="2"/>
        <w:outlineLvl w:val="1"/>
        <w:jc w:val="center"/>
      </w:pPr>
      <w:r>
        <w:rPr>
          <w:sz w:val="20"/>
        </w:rPr>
        <w:t xml:space="preserve">2. Участники отношений, связанных с выпуском, выдачей</w:t>
      </w:r>
    </w:p>
    <w:p>
      <w:pPr>
        <w:pStyle w:val="2"/>
        <w:jc w:val="center"/>
      </w:pPr>
      <w:r>
        <w:rPr>
          <w:sz w:val="20"/>
        </w:rPr>
        <w:t xml:space="preserve">и обслуживанием ЕЦК</w:t>
      </w:r>
    </w:p>
    <w:p>
      <w:pPr>
        <w:pStyle w:val="0"/>
        <w:jc w:val="both"/>
      </w:pPr>
      <w:r>
        <w:rPr>
          <w:sz w:val="20"/>
        </w:rPr>
      </w:r>
    </w:p>
    <w:p>
      <w:pPr>
        <w:pStyle w:val="0"/>
        <w:ind w:firstLine="540"/>
        <w:jc w:val="both"/>
      </w:pPr>
      <w:r>
        <w:rPr>
          <w:sz w:val="20"/>
        </w:rPr>
        <w:t xml:space="preserve">2.1. Участниками отношений, связанных с выпуском, выдачей и обслуживанием ЕЦК (далее - участники ИС ЕЦК), являются:</w:t>
      </w:r>
    </w:p>
    <w:p>
      <w:pPr>
        <w:pStyle w:val="0"/>
        <w:spacing w:before="200" w:line-rule="auto"/>
        <w:ind w:firstLine="540"/>
        <w:jc w:val="both"/>
      </w:pPr>
      <w:r>
        <w:rPr>
          <w:sz w:val="20"/>
        </w:rPr>
        <w:t xml:space="preserve">- держатели ЕЦК;</w:t>
      </w:r>
    </w:p>
    <w:p>
      <w:pPr>
        <w:pStyle w:val="0"/>
        <w:spacing w:before="200" w:line-rule="auto"/>
        <w:ind w:firstLine="540"/>
        <w:jc w:val="both"/>
      </w:pPr>
      <w:r>
        <w:rPr>
          <w:sz w:val="20"/>
        </w:rPr>
        <w:t xml:space="preserve">- уполномоченный орган;</w:t>
      </w:r>
    </w:p>
    <w:p>
      <w:pPr>
        <w:pStyle w:val="0"/>
        <w:spacing w:before="200" w:line-rule="auto"/>
        <w:ind w:firstLine="540"/>
        <w:jc w:val="both"/>
      </w:pPr>
      <w:r>
        <w:rPr>
          <w:sz w:val="20"/>
        </w:rPr>
        <w:t xml:space="preserve">- функциональные заказчики приложений (сервисов) ЕЦК;</w:t>
      </w:r>
    </w:p>
    <w:p>
      <w:pPr>
        <w:pStyle w:val="0"/>
        <w:spacing w:before="200" w:line-rule="auto"/>
        <w:ind w:firstLine="540"/>
        <w:jc w:val="both"/>
      </w:pPr>
      <w:r>
        <w:rPr>
          <w:sz w:val="20"/>
        </w:rPr>
        <w:t xml:space="preserve">- оператор Цифрового сервиса ЕЦК;</w:t>
      </w:r>
    </w:p>
    <w:p>
      <w:pPr>
        <w:pStyle w:val="0"/>
        <w:spacing w:before="200" w:line-rule="auto"/>
        <w:ind w:firstLine="540"/>
        <w:jc w:val="both"/>
      </w:pPr>
      <w:r>
        <w:rPr>
          <w:sz w:val="20"/>
        </w:rPr>
        <w:t xml:space="preserve">- банки-эмитенты ЕЦК;</w:t>
      </w:r>
    </w:p>
    <w:p>
      <w:pPr>
        <w:pStyle w:val="0"/>
        <w:spacing w:before="200" w:line-rule="auto"/>
        <w:ind w:firstLine="540"/>
        <w:jc w:val="both"/>
      </w:pPr>
      <w:r>
        <w:rPr>
          <w:sz w:val="20"/>
        </w:rPr>
        <w:t xml:space="preserve">- партнеры приложений (сервисов) ЕЦК;</w:t>
      </w:r>
    </w:p>
    <w:p>
      <w:pPr>
        <w:pStyle w:val="0"/>
        <w:spacing w:before="200" w:line-rule="auto"/>
        <w:ind w:firstLine="540"/>
        <w:jc w:val="both"/>
      </w:pPr>
      <w:r>
        <w:rPr>
          <w:sz w:val="20"/>
        </w:rPr>
        <w:t xml:space="preserve">- иные участники ИС ЕЦК.</w:t>
      </w:r>
    </w:p>
    <w:p>
      <w:pPr>
        <w:pStyle w:val="0"/>
        <w:jc w:val="both"/>
      </w:pPr>
      <w:r>
        <w:rPr>
          <w:sz w:val="20"/>
        </w:rPr>
        <w:t xml:space="preserve">(абзац введен </w:t>
      </w:r>
      <w:hyperlink w:history="0" r:id="rId28"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2.2. Уполномоченный орган:</w:t>
      </w:r>
    </w:p>
    <w:p>
      <w:pPr>
        <w:pStyle w:val="0"/>
        <w:spacing w:before="200" w:line-rule="auto"/>
        <w:ind w:firstLine="540"/>
        <w:jc w:val="both"/>
      </w:pPr>
      <w:r>
        <w:rPr>
          <w:sz w:val="20"/>
        </w:rPr>
        <w:t xml:space="preserve">- координирует работы по созданию, вводу в эксплуатацию, функционированию ИС ЕЦК;</w:t>
      </w:r>
    </w:p>
    <w:p>
      <w:pPr>
        <w:pStyle w:val="0"/>
        <w:spacing w:before="200" w:line-rule="auto"/>
        <w:ind w:firstLine="540"/>
        <w:jc w:val="both"/>
      </w:pPr>
      <w:r>
        <w:rPr>
          <w:sz w:val="20"/>
        </w:rPr>
        <w:t xml:space="preserve">- осуществляет координацию взаимодействия участников ИС ЕЦК в процессе ее создания и функционирования;</w:t>
      </w:r>
    </w:p>
    <w:p>
      <w:pPr>
        <w:pStyle w:val="0"/>
        <w:spacing w:before="200" w:line-rule="auto"/>
        <w:ind w:firstLine="540"/>
        <w:jc w:val="both"/>
      </w:pPr>
      <w:r>
        <w:rPr>
          <w:sz w:val="20"/>
        </w:rPr>
        <w:t xml:space="preserve">- утверждает разработанный оператором Цифрового сервиса ЕЦК порядок информационного обмена между участниками ИС ЕЦК, изменения в указанный порядок, связанные с модернизацией и развитием ИС ЕЦК;</w:t>
      </w:r>
    </w:p>
    <w:p>
      <w:pPr>
        <w:pStyle w:val="0"/>
        <w:spacing w:before="200" w:line-rule="auto"/>
        <w:ind w:firstLine="540"/>
        <w:jc w:val="both"/>
      </w:pPr>
      <w:r>
        <w:rPr>
          <w:sz w:val="20"/>
        </w:rPr>
        <w:t xml:space="preserve">- утверждает разработанные оператором Цифрового сервиса ЕЦК Технические требования для присоединения к ИС ЕЦК функциональных заказчиков приложений (сервисов) ЕЦК, партнеров приложений (сервисов) ЕЦК (далее - Технические требования для присоединения к ИС ЕЦК);</w:t>
      </w:r>
    </w:p>
    <w:p>
      <w:pPr>
        <w:pStyle w:val="0"/>
        <w:spacing w:before="200" w:line-rule="auto"/>
        <w:ind w:firstLine="540"/>
        <w:jc w:val="both"/>
      </w:pPr>
      <w:r>
        <w:rPr>
          <w:sz w:val="20"/>
        </w:rPr>
        <w:t xml:space="preserve">- организует обучение персонала участников ИС ЕЦК, в компетенцию которых входит реализация мероприятий, необходимых для функционирования соответствующих приложений (сервисов) ЕЦК;</w:t>
      </w:r>
    </w:p>
    <w:p>
      <w:pPr>
        <w:pStyle w:val="0"/>
        <w:spacing w:before="200" w:line-rule="auto"/>
        <w:ind w:firstLine="540"/>
        <w:jc w:val="both"/>
      </w:pPr>
      <w:r>
        <w:rPr>
          <w:sz w:val="20"/>
        </w:rPr>
        <w:t xml:space="preserve">- осуществляет контроль функционирования ИС ЕЦК;</w:t>
      </w:r>
    </w:p>
    <w:p>
      <w:pPr>
        <w:pStyle w:val="0"/>
        <w:spacing w:before="200" w:line-rule="auto"/>
        <w:ind w:firstLine="540"/>
        <w:jc w:val="both"/>
      </w:pPr>
      <w:r>
        <w:rPr>
          <w:sz w:val="20"/>
        </w:rPr>
        <w:t xml:space="preserve">- осуществляет информирование населения через средства массовой информации о функционировании Цифрового сервиса ЕЦК, о способах его использования, о приложениях (сервисах) ЕЦК, а также представляет иную информацию, связанную с Цифровым сервисом ЕЦК.</w:t>
      </w:r>
    </w:p>
    <w:p>
      <w:pPr>
        <w:pStyle w:val="0"/>
        <w:spacing w:before="200" w:line-rule="auto"/>
        <w:ind w:firstLine="540"/>
        <w:jc w:val="both"/>
      </w:pPr>
      <w:r>
        <w:rPr>
          <w:sz w:val="20"/>
        </w:rPr>
        <w:t xml:space="preserve">2.3. Держатель ЕЦК обязан использовать ЕЦК в соответствии с настоящим Положением, а также при использовании расчетного приложения ЕЦК - в соответствии с действующими правилами банка-эмитента и НСПК. Держатель ЕЦК не должен передавать ЕЦК другим лицам.</w:t>
      </w:r>
    </w:p>
    <w:p>
      <w:pPr>
        <w:pStyle w:val="0"/>
        <w:spacing w:before="200" w:line-rule="auto"/>
        <w:ind w:firstLine="540"/>
        <w:jc w:val="both"/>
      </w:pPr>
      <w:r>
        <w:rPr>
          <w:sz w:val="20"/>
        </w:rPr>
        <w:t xml:space="preserve">2.4. Функциональные заказчики приложений (сервисов) ЕЦК в пределах своей компетенции исполняют обязательства, предусмотренные соглашением о присоединении.</w:t>
      </w:r>
    </w:p>
    <w:p>
      <w:pPr>
        <w:pStyle w:val="0"/>
        <w:spacing w:before="200" w:line-rule="auto"/>
        <w:ind w:firstLine="540"/>
        <w:jc w:val="both"/>
      </w:pPr>
      <w:r>
        <w:rPr>
          <w:sz w:val="20"/>
        </w:rPr>
        <w:t xml:space="preserve">2.5. Функциональные заказчики приложений (сервисов) ЕЦК согласуют с оператором Цифрового сервиса ЕЦК порядок (правила) работы соответствующего приложения (сервиса) ЕЦК, состав данных и информации, подлежащей обмену между участниками ИС ЕЦК в рамках приложения (сервиса) ЕЦК.</w:t>
      </w:r>
    </w:p>
    <w:p>
      <w:pPr>
        <w:pStyle w:val="0"/>
        <w:spacing w:before="200" w:line-rule="auto"/>
        <w:ind w:firstLine="540"/>
        <w:jc w:val="both"/>
      </w:pPr>
      <w:r>
        <w:rPr>
          <w:sz w:val="20"/>
        </w:rPr>
        <w:t xml:space="preserve">2.6. Оператор Цифрового сервиса ЕЦК осуществляет свою деятельность в соответствии с настоящим Положением, а также соглашением, заключаемым с уполномоченным органом по результатам конкурсного отбора оператора Цифрового ЕЦК.</w:t>
      </w:r>
    </w:p>
    <w:p>
      <w:pPr>
        <w:pStyle w:val="0"/>
        <w:spacing w:before="200" w:line-rule="auto"/>
        <w:ind w:firstLine="540"/>
        <w:jc w:val="both"/>
      </w:pPr>
      <w:r>
        <w:rPr>
          <w:sz w:val="20"/>
        </w:rPr>
        <w:t xml:space="preserve">2.7. Статус оператора Цифрового сервиса ЕЦК присваивается юридическому лицу по результатам конкурсного отбора, который проводится уполномоченным органом, на срок 10 лет.</w:t>
      </w:r>
    </w:p>
    <w:p>
      <w:pPr>
        <w:pStyle w:val="0"/>
        <w:spacing w:before="200" w:line-rule="auto"/>
        <w:ind w:firstLine="540"/>
        <w:jc w:val="both"/>
      </w:pPr>
      <w:r>
        <w:rPr>
          <w:sz w:val="20"/>
        </w:rPr>
        <w:t xml:space="preserve">2.8. Участие банка-эмитента ЕЦК в выпуске, выдаче и обслуживании ЕЦК осуществляется в соответствии с настоящим Положением и на основании заключенного с оператором Цифрового сервиса ЕЦК соглашения о присоединении в качестве банка-эмитента ЕЦК.</w:t>
      </w:r>
    </w:p>
    <w:p>
      <w:pPr>
        <w:pStyle w:val="0"/>
        <w:spacing w:before="200" w:line-rule="auto"/>
        <w:ind w:firstLine="540"/>
        <w:jc w:val="both"/>
      </w:pPr>
      <w:r>
        <w:rPr>
          <w:sz w:val="20"/>
        </w:rPr>
        <w:t xml:space="preserve">2.9. Кредитная организация, претендующая на участие в отношениях, связанных с выпуском, выдачей и обслуживанием ЕЦК в качестве банка-эмитента ЕЦК, направляет оператору Цифрового сервиса ЕЦК заявление по форме, установленной уполномоченным органом, с приложением документов, подтверждающих ее соответствие условиям участия кредитной организации (далее - документы).</w:t>
      </w:r>
    </w:p>
    <w:p>
      <w:pPr>
        <w:pStyle w:val="0"/>
        <w:spacing w:before="200" w:line-rule="auto"/>
        <w:ind w:firstLine="540"/>
        <w:jc w:val="both"/>
      </w:pPr>
      <w:r>
        <w:rPr>
          <w:sz w:val="20"/>
        </w:rPr>
        <w:t xml:space="preserve">2.10. Оператор Цифрового сервиса ЕЦК рассматривает заявление кредитной организации с документами и принимает решение о соответствии или о несоответствии кредитной организации условиям участия кредитной организации в течение 30 рабочих дней со дня его поступления.</w:t>
      </w:r>
    </w:p>
    <w:p>
      <w:pPr>
        <w:pStyle w:val="0"/>
        <w:spacing w:before="200" w:line-rule="auto"/>
        <w:ind w:firstLine="540"/>
        <w:jc w:val="both"/>
      </w:pPr>
      <w:r>
        <w:rPr>
          <w:sz w:val="20"/>
        </w:rPr>
        <w:t xml:space="preserve">2.11. Оператор Цифрового сервиса ЕЦК оставляет заявление кредитной организации без рассмотрения в следующих случаях:</w:t>
      </w:r>
    </w:p>
    <w:p>
      <w:pPr>
        <w:pStyle w:val="0"/>
        <w:spacing w:before="200" w:line-rule="auto"/>
        <w:ind w:firstLine="540"/>
        <w:jc w:val="both"/>
      </w:pPr>
      <w:r>
        <w:rPr>
          <w:sz w:val="20"/>
        </w:rPr>
        <w:t xml:space="preserve">- несоответствие заявления установленной форме;</w:t>
      </w:r>
    </w:p>
    <w:p>
      <w:pPr>
        <w:pStyle w:val="0"/>
        <w:spacing w:before="200" w:line-rule="auto"/>
        <w:ind w:firstLine="540"/>
        <w:jc w:val="both"/>
      </w:pPr>
      <w:r>
        <w:rPr>
          <w:sz w:val="20"/>
        </w:rPr>
        <w:t xml:space="preserve">- непредставление (представление не в полном объеме) документов.</w:t>
      </w:r>
    </w:p>
    <w:p>
      <w:pPr>
        <w:pStyle w:val="0"/>
        <w:spacing w:before="200" w:line-rule="auto"/>
        <w:ind w:firstLine="540"/>
        <w:jc w:val="both"/>
      </w:pPr>
      <w:r>
        <w:rPr>
          <w:sz w:val="20"/>
        </w:rPr>
        <w:t xml:space="preserve">2.12. В случае принятия решения о несоответствии кредитной организации условиям участия кредитной организации оператор Цифрового сервиса ЕЦК направляет данной кредитной организации уведомление о невозможности заключения соглашения о присоединении в качестве банка-эмитента ЕЦК с указанием причин невозможности его заключения в течение 5 рабочих дней со дня принятия им такого решения.</w:t>
      </w:r>
    </w:p>
    <w:p>
      <w:pPr>
        <w:pStyle w:val="0"/>
        <w:spacing w:before="200" w:line-rule="auto"/>
        <w:ind w:firstLine="540"/>
        <w:jc w:val="both"/>
      </w:pPr>
      <w:r>
        <w:rPr>
          <w:sz w:val="20"/>
        </w:rPr>
        <w:t xml:space="preserve">2.13. В случае принятия решения о соответствии кредитной организации условиям участия кредитной организации оператор Цифрового сервиса ЕЦК направляет данной кредитной организации подписанный оператором Цифрового сервиса ЕЦК проект соглашения о присоединении в качестве банка-эмитента ЕЦК в двух экземплярах не позднее 3 рабочих дней со дня принятия им такого решения.</w:t>
      </w:r>
    </w:p>
    <w:p>
      <w:pPr>
        <w:pStyle w:val="0"/>
        <w:spacing w:before="200" w:line-rule="auto"/>
        <w:ind w:firstLine="540"/>
        <w:jc w:val="both"/>
      </w:pPr>
      <w:r>
        <w:rPr>
          <w:sz w:val="20"/>
        </w:rPr>
        <w:t xml:space="preserve">2.14. Кредитная организация подписывает проект соглашения об участии в качестве банка-эмитента ЕЦК и возвращает один экземпляр подписанного соглашения оператору Цифрового сервиса ЕЦК не позднее 14 рабочих дней со дня получения проекта соглашения.</w:t>
      </w:r>
    </w:p>
    <w:p>
      <w:pPr>
        <w:pStyle w:val="0"/>
        <w:spacing w:before="200" w:line-rule="auto"/>
        <w:ind w:firstLine="540"/>
        <w:jc w:val="both"/>
      </w:pPr>
      <w:r>
        <w:rPr>
          <w:sz w:val="20"/>
        </w:rPr>
        <w:t xml:space="preserve">2.15. Партнеры приложений (сервисов) ЕЦК представляют держателям ЕЦК доступ к программам лояльности в соответствии с соглашением о присоединении и Техническими требованиями для присоединения к ИС ЕЦК.</w:t>
      </w:r>
    </w:p>
    <w:p>
      <w:pPr>
        <w:pStyle w:val="0"/>
        <w:spacing w:before="200" w:line-rule="auto"/>
        <w:ind w:firstLine="540"/>
        <w:jc w:val="both"/>
      </w:pPr>
      <w:r>
        <w:rPr>
          <w:sz w:val="20"/>
        </w:rPr>
        <w:t xml:space="preserve">2.16. Обработка данных заявителей и держателей ЕЦК в ИС ЕЦК, включая обмен такими данными между участниками отношений, связанных с выпуском, выдачей, перевыпуском и обслуживанием ЕЦК, осуществляется с соблюдением требований, установленных законодательством Российской Федерации о персональных данных (в случае обработки персональных данных) и о защите информации, а также с использованием сертифицированных средств защиты информации и баз данных (центров обработки данных), находящихся на территории Российской Федерации.</w:t>
      </w:r>
    </w:p>
    <w:p>
      <w:pPr>
        <w:pStyle w:val="0"/>
        <w:jc w:val="both"/>
      </w:pPr>
      <w:r>
        <w:rPr>
          <w:sz w:val="20"/>
        </w:rPr>
        <w:t xml:space="preserve">(в ред. </w:t>
      </w:r>
      <w:hyperlink w:history="0" r:id="rId29"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jc w:val="both"/>
      </w:pPr>
      <w:r>
        <w:rPr>
          <w:sz w:val="20"/>
        </w:rPr>
      </w:r>
    </w:p>
    <w:p>
      <w:pPr>
        <w:pStyle w:val="2"/>
        <w:outlineLvl w:val="1"/>
        <w:jc w:val="center"/>
      </w:pPr>
      <w:r>
        <w:rPr>
          <w:sz w:val="20"/>
        </w:rPr>
        <w:t xml:space="preserve">3. Выпуск, выдача и обслуживание ЕЦК</w:t>
      </w:r>
    </w:p>
    <w:p>
      <w:pPr>
        <w:pStyle w:val="0"/>
        <w:jc w:val="both"/>
      </w:pPr>
      <w:r>
        <w:rPr>
          <w:sz w:val="20"/>
        </w:rPr>
      </w:r>
    </w:p>
    <w:bookmarkStart w:id="124" w:name="P124"/>
    <w:bookmarkEnd w:id="124"/>
    <w:p>
      <w:pPr>
        <w:pStyle w:val="0"/>
        <w:ind w:firstLine="540"/>
        <w:jc w:val="both"/>
      </w:pPr>
      <w:r>
        <w:rPr>
          <w:sz w:val="20"/>
        </w:rPr>
        <w:t xml:space="preserve">3.1. Выпуск ЕЦК осуществляется банком-эмитентом ЕЦК на основании заявления заявителя о выпуске ЕЦК по форме, установленной банком-эмитентом (далее - заявление), при предъявлении документа, удостоверяющего личность, документа, подтверждающего полномочия представителя (законного представителя) (в случае подачи заявления представителем (законным представителем), страхового номера индивидуального лицевого счета (в случае подачи заявления представителем (законным представителем) также в отношении лица, который будет являться держателем ЕЦК), письменного согласия законного представителя несовершеннолетнего лица в возрасте от 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согласия на обработку персональных данных, согласия на получение мер социальной поддержки в денежной форме на банковский счет, открытый в банке-эмитенте ЕЦК (по желанию заявителей, являющихся получателями мер социальной поддержки).</w:t>
      </w:r>
    </w:p>
    <w:p>
      <w:pPr>
        <w:pStyle w:val="0"/>
        <w:jc w:val="both"/>
      </w:pPr>
      <w:r>
        <w:rPr>
          <w:sz w:val="20"/>
        </w:rPr>
        <w:t xml:space="preserve">(п. 3.1 в ред. </w:t>
      </w:r>
      <w:hyperlink w:history="0" r:id="rId3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3.2. Заявление о выпуске ЕЦК может подаваться заявителем в банк-эмитент или в пункт обслуживания.</w:t>
      </w:r>
    </w:p>
    <w:p>
      <w:pPr>
        <w:pStyle w:val="0"/>
        <w:jc w:val="both"/>
      </w:pPr>
      <w:r>
        <w:rPr>
          <w:sz w:val="20"/>
        </w:rPr>
        <w:t xml:space="preserve">(в ред. </w:t>
      </w:r>
      <w:hyperlink w:history="0" r:id="rId31"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3.3. Выдача ЕЦК может осуществляться:</w:t>
      </w:r>
    </w:p>
    <w:p>
      <w:pPr>
        <w:pStyle w:val="0"/>
        <w:spacing w:before="200" w:line-rule="auto"/>
        <w:ind w:firstLine="540"/>
        <w:jc w:val="both"/>
      </w:pPr>
      <w:r>
        <w:rPr>
          <w:sz w:val="20"/>
        </w:rPr>
        <w:t xml:space="preserve">- абзац утратил силу. - </w:t>
      </w:r>
      <w:hyperlink w:history="0" r:id="rId32"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банком-эмитентом ЕЦК;</w:t>
      </w:r>
    </w:p>
    <w:p>
      <w:pPr>
        <w:pStyle w:val="0"/>
        <w:spacing w:before="200" w:line-rule="auto"/>
        <w:ind w:firstLine="540"/>
        <w:jc w:val="both"/>
      </w:pPr>
      <w:r>
        <w:rPr>
          <w:sz w:val="20"/>
        </w:rPr>
        <w:t xml:space="preserve">- пунктом обслуживания.</w:t>
      </w:r>
    </w:p>
    <w:p>
      <w:pPr>
        <w:pStyle w:val="0"/>
        <w:spacing w:before="200" w:line-rule="auto"/>
        <w:ind w:firstLine="540"/>
        <w:jc w:val="both"/>
      </w:pPr>
      <w:r>
        <w:rPr>
          <w:sz w:val="20"/>
        </w:rPr>
        <w:t xml:space="preserve">3.4. Основаниями для отказа в выдаче ЕЦК являются:</w:t>
      </w:r>
    </w:p>
    <w:p>
      <w:pPr>
        <w:pStyle w:val="0"/>
        <w:spacing w:before="200" w:line-rule="auto"/>
        <w:ind w:firstLine="540"/>
        <w:jc w:val="both"/>
      </w:pPr>
      <w:r>
        <w:rPr>
          <w:sz w:val="20"/>
        </w:rPr>
        <w:t xml:space="preserve">- обращение лица, не являющегося заявителем в соответствии с настоящим Положением;</w:t>
      </w:r>
    </w:p>
    <w:p>
      <w:pPr>
        <w:pStyle w:val="0"/>
        <w:spacing w:before="200" w:line-rule="auto"/>
        <w:ind w:firstLine="540"/>
        <w:jc w:val="both"/>
      </w:pPr>
      <w:r>
        <w:rPr>
          <w:sz w:val="20"/>
        </w:rPr>
        <w:t xml:space="preserve">- наличие у заявителя действующей ЕЦК, ранее выданной в соответствии с настоящим Положением, за исключением случаев перевыпуска ЕЦК по основаниям, указанным в </w:t>
      </w:r>
      <w:hyperlink w:history="0" w:anchor="P138" w:tooltip="3.7. Первоначальный выпуск и выдача ЕЦК, перевыпуск ЕЦК в случае истечения ее срока действия, а также в связи с необходимостью подключения и (или) обновления приложений (сервисов) ЕЦК, подключение и (или) обновление которых без замены ЕЦК невозможно, осуществляются на безвозмездной основе. Размер взимаемой платы за перевыпуск ЕЦК в случае повреждения или утраты ЕЦК до истечения срока ее действия определяется условиями договора между держателем ЕЦК и банком-эмитентом ЕЦК.">
        <w:r>
          <w:rPr>
            <w:sz w:val="20"/>
            <w:color w:val="0000ff"/>
          </w:rPr>
          <w:t xml:space="preserve">пункте 3.7</w:t>
        </w:r>
      </w:hyperlink>
      <w:r>
        <w:rPr>
          <w:sz w:val="20"/>
        </w:rPr>
        <w:t xml:space="preserve"> настоящего Положения;</w:t>
      </w:r>
    </w:p>
    <w:p>
      <w:pPr>
        <w:pStyle w:val="0"/>
        <w:spacing w:before="200" w:line-rule="auto"/>
        <w:ind w:firstLine="540"/>
        <w:jc w:val="both"/>
      </w:pPr>
      <w:r>
        <w:rPr>
          <w:sz w:val="20"/>
        </w:rPr>
        <w:t xml:space="preserve">- непредставление документов, указанных в </w:t>
      </w:r>
      <w:hyperlink w:history="0" w:anchor="P124" w:tooltip="3.1. Выпуск ЕЦК осуществляется банком-эмитентом ЕЦК на основании заявления заявителя о выпуске ЕЦК по форме, установленной банком-эмитентом (далее - заявление), при предъявлении документа, удостоверяющего личность, документа, подтверждающего полномочия представителя (законного представителя) (в случае подачи заявления представителем (законным представителем), страхового номера индивидуального лицевого счета (в случае подачи заявления представителем (законным представителем) также в отношении лица, которы...">
        <w:r>
          <w:rPr>
            <w:sz w:val="20"/>
            <w:color w:val="0000ff"/>
          </w:rPr>
          <w:t xml:space="preserve">пункте 3.1</w:t>
        </w:r>
      </w:hyperlink>
      <w:r>
        <w:rPr>
          <w:sz w:val="20"/>
        </w:rPr>
        <w:t xml:space="preserve"> настоящего Положения.</w:t>
      </w:r>
    </w:p>
    <w:bookmarkStart w:id="136" w:name="P136"/>
    <w:bookmarkEnd w:id="136"/>
    <w:p>
      <w:pPr>
        <w:pStyle w:val="0"/>
        <w:spacing w:before="200" w:line-rule="auto"/>
        <w:ind w:firstLine="540"/>
        <w:jc w:val="both"/>
      </w:pPr>
      <w:r>
        <w:rPr>
          <w:sz w:val="20"/>
        </w:rPr>
        <w:t xml:space="preserve">3.5. Срок выпуска и выдачи ЕЦК не должен превышать 15 рабочих дней с даты поступления заявления в банк-эмитент, оператору Цифрового сервиса ЕЦК или в пункт обслуживания.</w:t>
      </w:r>
    </w:p>
    <w:p>
      <w:pPr>
        <w:pStyle w:val="0"/>
        <w:spacing w:before="200" w:line-rule="auto"/>
        <w:ind w:firstLine="540"/>
        <w:jc w:val="both"/>
      </w:pPr>
      <w:r>
        <w:rPr>
          <w:sz w:val="20"/>
        </w:rPr>
        <w:t xml:space="preserve">3.6. Срок действия ЕЦК равен сроку действия банковской карты платежной системы "МИР".</w:t>
      </w:r>
    </w:p>
    <w:bookmarkStart w:id="138" w:name="P138"/>
    <w:bookmarkEnd w:id="138"/>
    <w:p>
      <w:pPr>
        <w:pStyle w:val="0"/>
        <w:spacing w:before="200" w:line-rule="auto"/>
        <w:ind w:firstLine="540"/>
        <w:jc w:val="both"/>
      </w:pPr>
      <w:r>
        <w:rPr>
          <w:sz w:val="20"/>
        </w:rPr>
        <w:t xml:space="preserve">3.7. Первоначальный выпуск и выдача ЕЦК, перевыпуск ЕЦК в случае истечения ее срока действия, а также в связи с необходимостью подключения и (или) обновления приложений (сервисов) ЕЦК, подключение и (или) обновление которых без замены ЕЦК невозможно, осуществляются на безвозмездной основе. Размер взимаемой платы за перевыпуск ЕЦК в случае повреждения или утраты ЕЦК до истечения срока ее действия определяется условиями договора между держателем ЕЦК и банком-эмитентом ЕЦК.</w:t>
      </w:r>
    </w:p>
    <w:p>
      <w:pPr>
        <w:pStyle w:val="0"/>
        <w:spacing w:before="200" w:line-rule="auto"/>
        <w:ind w:firstLine="540"/>
        <w:jc w:val="both"/>
      </w:pPr>
      <w:r>
        <w:rPr>
          <w:sz w:val="20"/>
        </w:rPr>
        <w:t xml:space="preserve">3.8. Действие ЕЦК прекращается в связи с окончанием срока действия ЕЦК, а также по заявлению держателя ЕЦК в случаях:</w:t>
      </w:r>
    </w:p>
    <w:p>
      <w:pPr>
        <w:pStyle w:val="0"/>
        <w:spacing w:before="200" w:line-rule="auto"/>
        <w:ind w:firstLine="540"/>
        <w:jc w:val="both"/>
      </w:pPr>
      <w:r>
        <w:rPr>
          <w:sz w:val="20"/>
        </w:rPr>
        <w:t xml:space="preserve">- утраты ЕЦК;</w:t>
      </w:r>
    </w:p>
    <w:p>
      <w:pPr>
        <w:pStyle w:val="0"/>
        <w:spacing w:before="200" w:line-rule="auto"/>
        <w:ind w:firstLine="540"/>
        <w:jc w:val="both"/>
      </w:pPr>
      <w:r>
        <w:rPr>
          <w:sz w:val="20"/>
        </w:rPr>
        <w:t xml:space="preserve">- физического износа или повреждения ЕЦК;</w:t>
      </w:r>
    </w:p>
    <w:p>
      <w:pPr>
        <w:pStyle w:val="0"/>
        <w:spacing w:before="200" w:line-rule="auto"/>
        <w:ind w:firstLine="540"/>
        <w:jc w:val="both"/>
      </w:pPr>
      <w:r>
        <w:rPr>
          <w:sz w:val="20"/>
        </w:rPr>
        <w:t xml:space="preserve">- изменения учетных данных держателя ЕЦК;</w:t>
      </w:r>
    </w:p>
    <w:p>
      <w:pPr>
        <w:pStyle w:val="0"/>
        <w:spacing w:before="200" w:line-rule="auto"/>
        <w:ind w:firstLine="540"/>
        <w:jc w:val="both"/>
      </w:pPr>
      <w:r>
        <w:rPr>
          <w:sz w:val="20"/>
        </w:rPr>
        <w:t xml:space="preserve">- отказ от использования ЕЦК.</w:t>
      </w:r>
    </w:p>
    <w:p>
      <w:pPr>
        <w:pStyle w:val="0"/>
        <w:jc w:val="both"/>
      </w:pPr>
      <w:r>
        <w:rPr>
          <w:sz w:val="20"/>
        </w:rPr>
        <w:t xml:space="preserve">(абзац введен </w:t>
      </w:r>
      <w:hyperlink w:history="0" r:id="rId33"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3.9. Перевыпуск и выдача ЕЦК держателю ЕЦК осуществляются в сроки, установленные </w:t>
      </w:r>
      <w:hyperlink w:history="0" w:anchor="P136" w:tooltip="3.5. Срок выпуска и выдачи ЕЦК не должен превышать 15 рабочих дней с даты поступления заявления в банк-эмитент, оператору Цифрового сервиса ЕЦК или в пункт обслуживания.">
        <w:r>
          <w:rPr>
            <w:sz w:val="20"/>
            <w:color w:val="0000ff"/>
          </w:rPr>
          <w:t xml:space="preserve">пунктом 3.5</w:t>
        </w:r>
      </w:hyperlink>
      <w:r>
        <w:rPr>
          <w:sz w:val="20"/>
        </w:rPr>
        <w:t xml:space="preserve"> настоящего Положения, на основании заявления держателя ЕЦК.</w:t>
      </w:r>
    </w:p>
    <w:p>
      <w:pPr>
        <w:pStyle w:val="0"/>
        <w:spacing w:before="200" w:line-rule="auto"/>
        <w:ind w:firstLine="540"/>
        <w:jc w:val="both"/>
      </w:pPr>
      <w:r>
        <w:rPr>
          <w:sz w:val="20"/>
        </w:rPr>
        <w:t xml:space="preserve">3.10. Банк-эмитент ЕЦК, принявший заявление, открывает заявителю банковский счет, предусматривающий осуществление операций с использованием ЕЦК, и передает информацию о выданной ЕЦК и открытом банковском счете, предусматривающем осуществление операций с использованием ЕЦК, оператору Цифрового сервиса ЕЦК.</w:t>
      </w:r>
    </w:p>
    <w:p>
      <w:pPr>
        <w:pStyle w:val="0"/>
        <w:spacing w:before="200" w:line-rule="auto"/>
        <w:ind w:firstLine="540"/>
        <w:jc w:val="both"/>
      </w:pPr>
      <w:r>
        <w:rPr>
          <w:sz w:val="20"/>
        </w:rPr>
        <w:t xml:space="preserve">Оператор Цифрового сервиса ЕЦК в рамках соглашения об информационном обмене передает соответствующему функциональному заказчику приложения (сервиса) ЕЦК, предоставляющему меры социальной поддержки, в том числе в денежной форме, сведения о согласии держателя ЕЦК на получение мер социальной поддержки в денежной форме на открытый банковский счет в банке-эмитенте ЕЦК.</w:t>
      </w:r>
    </w:p>
    <w:p>
      <w:pPr>
        <w:pStyle w:val="0"/>
        <w:jc w:val="both"/>
      </w:pPr>
      <w:r>
        <w:rPr>
          <w:sz w:val="20"/>
        </w:rPr>
        <w:t xml:space="preserve">(абзац введен </w:t>
      </w:r>
      <w:hyperlink w:history="0" r:id="rId34"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Для обеспечения доступа держателя ЕЦК к получению мер социальной поддержки с использованием ЕЦК сведения, подтверждающие его право на получение мер социальной поддержки (при наличии такого права), записываются на ЕЦК оператором Цифрового сервиса ЕЦК на основании информации, предоставленной в рамках соглашений об информационном обмене функциональными заказчиками приложений (сервисов) и (или) иными участниками ИС ЕЦК, принявшими решение об отнесении держателя ЕЦК к соответствующей категории получателя мер социальной поддержки.</w:t>
      </w:r>
    </w:p>
    <w:p>
      <w:pPr>
        <w:pStyle w:val="0"/>
        <w:jc w:val="both"/>
      </w:pPr>
      <w:r>
        <w:rPr>
          <w:sz w:val="20"/>
        </w:rPr>
        <w:t xml:space="preserve">(абзац введен </w:t>
      </w:r>
      <w:hyperlink w:history="0" r:id="rId35"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Постановлением</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3.11.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pPr>
        <w:pStyle w:val="0"/>
        <w:jc w:val="both"/>
      </w:pPr>
      <w:r>
        <w:rPr>
          <w:sz w:val="20"/>
        </w:rPr>
        <w:t xml:space="preserve">(в ред. </w:t>
      </w:r>
      <w:hyperlink w:history="0" r:id="rId36"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3.12. При утере, хищении ЕЦК держатель ЕЦК незамедлительно уведомляет банк-эмитент ЕЦК о необходимости блокировки ЕЦК по телефону с использованием кодового слова, указываемого в заявлении. Банк-эмитент блокирует ЕЦК и разъясняют держателю ЕЦК возможные дальнейшие действия.</w:t>
      </w:r>
    </w:p>
    <w:p>
      <w:pPr>
        <w:pStyle w:val="0"/>
        <w:jc w:val="both"/>
      </w:pPr>
      <w:r>
        <w:rPr>
          <w:sz w:val="20"/>
        </w:rPr>
        <w:t xml:space="preserve">(в ред. </w:t>
      </w:r>
      <w:hyperlink w:history="0" r:id="rId3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3.13. В составе ИС ЕЦК предусмотрена возможность функционирования следующих приложений (сервисов) ЕЦК:</w:t>
      </w:r>
    </w:p>
    <w:p>
      <w:pPr>
        <w:pStyle w:val="0"/>
        <w:spacing w:before="200" w:line-rule="auto"/>
        <w:ind w:firstLine="540"/>
        <w:jc w:val="both"/>
      </w:pPr>
      <w:r>
        <w:rPr>
          <w:sz w:val="20"/>
        </w:rPr>
        <w:t xml:space="preserve">1) социальное приложение (сервис) позволяет держателям ЕЦК получать меры социальной поддержки, предусмотренные законодательством Рязанской области, в виде компенсаций и выплат с использованием расчетного приложения ЕЦК; оказывать и получать адресную социальную поддержку отдельным категориям граждан в соответствии с законодательством Рязанской области, в том числе с использованием электронного сертификата; является идентификатором держателя ЕЦК как получателя мер социальной поддержки (ЕЦК не является документом, удостоверяющим личность);</w:t>
      </w:r>
    </w:p>
    <w:p>
      <w:pPr>
        <w:pStyle w:val="0"/>
        <w:spacing w:before="200" w:line-rule="auto"/>
        <w:ind w:firstLine="540"/>
        <w:jc w:val="both"/>
      </w:pPr>
      <w:r>
        <w:rPr>
          <w:sz w:val="20"/>
        </w:rPr>
        <w:t xml:space="preserve">2) транспортное приложение (сервис) обеспечивает возможность получения:</w:t>
      </w:r>
    </w:p>
    <w:p>
      <w:pPr>
        <w:pStyle w:val="0"/>
        <w:spacing w:before="200" w:line-rule="auto"/>
        <w:ind w:firstLine="540"/>
        <w:jc w:val="both"/>
      </w:pPr>
      <w:r>
        <w:rPr>
          <w:sz w:val="20"/>
        </w:rPr>
        <w:t xml:space="preserve">мер социальной поддержки в виде льготного проезда и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междугороднего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держателями ЕЦК, имеющими право на данные меры в соответствии с законодательством Рязанской области, или возможность оплаты проезда за полную стоимость в городском наземном электрическом транспорте общего пользования и автомобильном транспорте общего пользования городского и пригородного сообщения Рязанской области, оборудованном соответствующими терминалами, по муниципальным, межмуниципальным маршрутам регулярных перевозок;</w:t>
      </w:r>
    </w:p>
    <w:p>
      <w:pPr>
        <w:pStyle w:val="0"/>
        <w:spacing w:before="200" w:line-rule="auto"/>
        <w:ind w:firstLine="540"/>
        <w:jc w:val="both"/>
      </w:pPr>
      <w:r>
        <w:rPr>
          <w:sz w:val="20"/>
        </w:rPr>
        <w:t xml:space="preserve">мер социальной поддержки в виде оплаты в размере 50 процентов стоимости проезда железнодорожным транспортом общего пользования в пригородном сообщении; в виде бесплатного проезда железнодорожным транспортом общего пользования в пригородном сообщении; в виде 50-процентной скидки от действующего тарифа при оплате проезда железнодорожным транспортом общего пользования в пригородном сообщении на территории Рязанской области; в виде 50 процентов возмещения стоимости проезда на междугородном транспорте один раз в год к месту лечения и обратно в пределах Российской Федерации держателями ЕЦК, имеющими право на данные меры в соответствии с законодательством Рязанской области;</w:t>
      </w:r>
    </w:p>
    <w:p>
      <w:pPr>
        <w:pStyle w:val="0"/>
        <w:spacing w:before="200" w:line-rule="auto"/>
        <w:ind w:firstLine="540"/>
        <w:jc w:val="both"/>
      </w:pPr>
      <w:r>
        <w:rPr>
          <w:sz w:val="20"/>
        </w:rPr>
        <w:t xml:space="preserve">дополнительных гарантий по социальной поддержке держателей ЕЦК, имеющих право на данные гарантии в соответствии с законодательством Рязанской области, в виде бесплатного проезда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pPr>
        <w:pStyle w:val="0"/>
        <w:jc w:val="both"/>
      </w:pPr>
      <w:r>
        <w:rPr>
          <w:sz w:val="20"/>
        </w:rPr>
        <w:t xml:space="preserve">(пп. 2 в ред. </w:t>
      </w:r>
      <w:hyperlink w:history="0" r:id="rId38"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0"/>
            <w:color w:val="0000ff"/>
          </w:rPr>
          <w:t xml:space="preserve">Постановления</w:t>
        </w:r>
      </w:hyperlink>
      <w:r>
        <w:rPr>
          <w:sz w:val="20"/>
        </w:rPr>
        <w:t xml:space="preserve"> Правительства Рязанской области от 14.01.2025 N 2)</w:t>
      </w:r>
    </w:p>
    <w:p>
      <w:pPr>
        <w:pStyle w:val="0"/>
        <w:spacing w:before="200" w:line-rule="auto"/>
        <w:ind w:firstLine="540"/>
        <w:jc w:val="both"/>
      </w:pPr>
      <w:r>
        <w:rPr>
          <w:sz w:val="20"/>
        </w:rPr>
        <w:t xml:space="preserve">3) медицинское приложение (сервис) используется в целях получения льготных лекарственных препаратов в аптечных организациях отдельными категориями граждан в соответствии с законодательством Рязанской области;</w:t>
      </w:r>
    </w:p>
    <w:p>
      <w:pPr>
        <w:pStyle w:val="0"/>
        <w:spacing w:before="200" w:line-rule="auto"/>
        <w:ind w:firstLine="540"/>
        <w:jc w:val="both"/>
      </w:pPr>
      <w:r>
        <w:rPr>
          <w:sz w:val="20"/>
        </w:rPr>
        <w:t xml:space="preserve">4) информационное приложение (сервис) обеспечивает доступ держателям ЕЦК к информации о других приложениях (сервисах) ИС ЕЦК;</w:t>
      </w:r>
    </w:p>
    <w:p>
      <w:pPr>
        <w:pStyle w:val="0"/>
        <w:spacing w:before="200" w:line-rule="auto"/>
        <w:ind w:firstLine="540"/>
        <w:jc w:val="both"/>
      </w:pPr>
      <w:r>
        <w:rPr>
          <w:sz w:val="20"/>
        </w:rPr>
        <w:t xml:space="preserve">5) расчетное приложение (сервис) обеспечивает осуществление держателем ЕЦК расчетов и иных операций с денежными средствами по банковскому счету, открытому им в банке-эмитенте ЕЦК.</w:t>
      </w:r>
    </w:p>
    <w:p>
      <w:pPr>
        <w:pStyle w:val="0"/>
        <w:jc w:val="both"/>
      </w:pPr>
      <w:r>
        <w:rPr>
          <w:sz w:val="20"/>
        </w:rPr>
        <w:t xml:space="preserve">(пп. 5 в ред. </w:t>
      </w:r>
      <w:hyperlink w:history="0" r:id="rId39"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0"/>
            <w:color w:val="0000ff"/>
          </w:rPr>
          <w:t xml:space="preserve">Постановления</w:t>
        </w:r>
      </w:hyperlink>
      <w:r>
        <w:rPr>
          <w:sz w:val="20"/>
        </w:rPr>
        <w:t xml:space="preserve"> Правительства Рязанской области от 14.01.2025 N 2)</w:t>
      </w:r>
    </w:p>
    <w:p>
      <w:pPr>
        <w:pStyle w:val="0"/>
        <w:spacing w:before="200" w:line-rule="auto"/>
        <w:ind w:firstLine="540"/>
        <w:jc w:val="both"/>
      </w:pPr>
      <w:r>
        <w:rPr>
          <w:sz w:val="20"/>
        </w:rPr>
        <w:t xml:space="preserve">3.14. Ввод в действие нового приложения (сервиса) ЕЦК осуществляется на основании соглашения о присоединении, заключенного между оператором Цифрового сервиса ЕЦК и функциональным заказчиком приложения (сервиса) ЕЦК.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об универсальном платежно-сервисном</w:t>
      </w:r>
    </w:p>
    <w:p>
      <w:pPr>
        <w:pStyle w:val="0"/>
        <w:jc w:val="right"/>
      </w:pPr>
      <w:r>
        <w:rPr>
          <w:sz w:val="20"/>
        </w:rPr>
        <w:t xml:space="preserve">инструменте для населения Рязанской области -</w:t>
      </w:r>
    </w:p>
    <w:p>
      <w:pPr>
        <w:pStyle w:val="0"/>
        <w:jc w:val="right"/>
      </w:pPr>
      <w:r>
        <w:rPr>
          <w:sz w:val="20"/>
        </w:rPr>
        <w:t xml:space="preserve">цифровом сервисе "Единая цифровая карта</w:t>
      </w:r>
    </w:p>
    <w:p>
      <w:pPr>
        <w:pStyle w:val="0"/>
        <w:jc w:val="right"/>
      </w:pPr>
      <w:r>
        <w:rPr>
          <w:sz w:val="20"/>
        </w:rPr>
        <w:t xml:space="preserve">жителя Рязанской области"</w:t>
      </w:r>
    </w:p>
    <w:p>
      <w:pPr>
        <w:pStyle w:val="0"/>
        <w:jc w:val="both"/>
      </w:pPr>
      <w:r>
        <w:rPr>
          <w:sz w:val="20"/>
        </w:rPr>
      </w:r>
    </w:p>
    <w:bookmarkStart w:id="179" w:name="P179"/>
    <w:bookmarkEnd w:id="179"/>
    <w:p>
      <w:pPr>
        <w:pStyle w:val="2"/>
        <w:jc w:val="center"/>
      </w:pPr>
      <w:r>
        <w:rPr>
          <w:sz w:val="20"/>
        </w:rPr>
        <w:t xml:space="preserve">УСЛОВИЯ</w:t>
      </w:r>
    </w:p>
    <w:p>
      <w:pPr>
        <w:pStyle w:val="2"/>
        <w:jc w:val="center"/>
      </w:pPr>
      <w:r>
        <w:rPr>
          <w:sz w:val="20"/>
        </w:rPr>
        <w:t xml:space="preserve">УЧАСТИЯ КРЕДИТНОЙ ОРГАНИЗАЦИИ В КАЧЕСТВЕ БАНКА-ЭМИТЕНТА ЕЦК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color w:val="392c69"/>
              </w:rPr>
              <w:t xml:space="preserve"> Правительства Рязанской области</w:t>
            </w:r>
          </w:p>
          <w:p>
            <w:pPr>
              <w:pStyle w:val="0"/>
              <w:jc w:val="center"/>
            </w:pPr>
            <w:r>
              <w:rPr>
                <w:sz w:val="20"/>
                <w:color w:val="392c69"/>
              </w:rPr>
              <w:t xml:space="preserve">от 27.06.2023 N 250)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Кредитная организация, претендующая на участие в отношениях, связанных с выпуском, выдачей и обслуживанием ЕЦК в качестве банка-эмитента ЕЦК, на дату подачи заявления должна соответствовать следующим условиям:</w:t>
      </w:r>
    </w:p>
    <w:p>
      <w:pPr>
        <w:pStyle w:val="0"/>
        <w:spacing w:before="200" w:line-rule="auto"/>
        <w:ind w:firstLine="540"/>
        <w:jc w:val="both"/>
      </w:pPr>
      <w:r>
        <w:rPr>
          <w:sz w:val="20"/>
        </w:rPr>
        <w:t xml:space="preserve">1) наличие универсальной или базовой лицензии Центрального банка Российской Федерации на осуществление банковских операций в соответствии с Федеральным </w:t>
      </w:r>
      <w:hyperlink w:history="0" r:id="rId41" w:tooltip="Федеральный закон от 02.12.1990 N 395-1 (ред. от 28.12.2024) &quot;О банках и банковской деятельности&quot; {КонсультантПлюс}">
        <w:r>
          <w:rPr>
            <w:sz w:val="20"/>
            <w:color w:val="0000ff"/>
          </w:rPr>
          <w:t xml:space="preserve">законом</w:t>
        </w:r>
      </w:hyperlink>
      <w:r>
        <w:rPr>
          <w:sz w:val="20"/>
        </w:rPr>
        <w:t xml:space="preserve"> от 02.12.1990 N 395-1 "О банках и банковской деятельности";</w:t>
      </w:r>
    </w:p>
    <w:p>
      <w:pPr>
        <w:pStyle w:val="0"/>
        <w:jc w:val="both"/>
      </w:pPr>
      <w:r>
        <w:rPr>
          <w:sz w:val="20"/>
        </w:rPr>
        <w:t xml:space="preserve">(в ред. </w:t>
      </w:r>
      <w:hyperlink w:history="0" r:id="rId42"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2) в отношении кредитной организации не возбуждено производство по делу о несостоятельности (банкротстве), она не находится в процессе реорганизации или ликвидации;</w:t>
      </w:r>
    </w:p>
    <w:p>
      <w:pPr>
        <w:pStyle w:val="0"/>
        <w:spacing w:before="200" w:line-rule="auto"/>
        <w:ind w:firstLine="540"/>
        <w:jc w:val="both"/>
      </w:pPr>
      <w:r>
        <w:rPr>
          <w:sz w:val="20"/>
        </w:rPr>
        <w:t xml:space="preserve">3) в отношении кредитной организации Центральным Банком Российской Федерации не применены меры за нарушение обязательных нормативов, установленных в соответствии с Федеральным </w:t>
      </w:r>
      <w:hyperlink w:history="0" r:id="rId43"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законом</w:t>
        </w:r>
      </w:hyperlink>
      <w:r>
        <w:rPr>
          <w:sz w:val="20"/>
        </w:rPr>
        <w:t xml:space="preserve"> от 10.07.2002 N 86-ФЗ "О Центральном банке Российской Федерации (Банке России)" (официальные данные, размещенные на официальном сайте Центрального банка Российской Федерации в информационно-телекоммуникационной сети "Интернет" на последнюю отчетную дату);</w:t>
      </w:r>
    </w:p>
    <w:p>
      <w:pPr>
        <w:pStyle w:val="0"/>
        <w:spacing w:before="200" w:line-rule="auto"/>
        <w:ind w:firstLine="540"/>
        <w:jc w:val="both"/>
      </w:pPr>
      <w:r>
        <w:rPr>
          <w:sz w:val="20"/>
        </w:rPr>
        <w:t xml:space="preserve">4) участие в национальной платежной системе "Мир" в соответствии с законодательством Российской Федерации о национальной платежной системе;</w:t>
      </w:r>
    </w:p>
    <w:p>
      <w:pPr>
        <w:pStyle w:val="0"/>
        <w:spacing w:before="200" w:line-rule="auto"/>
        <w:ind w:firstLine="540"/>
        <w:jc w:val="both"/>
      </w:pPr>
      <w:r>
        <w:rPr>
          <w:sz w:val="20"/>
        </w:rPr>
        <w:t xml:space="preserve">5) участие в системе обязательного страхования вкладов в банках Российской Федерации в соответствии с Федеральным </w:t>
      </w:r>
      <w:hyperlink w:history="0" r:id="rId44"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sz w:val="20"/>
            <w:color w:val="0000ff"/>
          </w:rPr>
          <w:t xml:space="preserve">законом</w:t>
        </w:r>
      </w:hyperlink>
      <w:r>
        <w:rPr>
          <w:sz w:val="20"/>
        </w:rPr>
        <w:t xml:space="preserve"> от 23.12.2003 N 177-ФЗ "О страховании вкладов в банках Российской Федерации" (официальные данные, размещенные на официальном сайте Центрального банка Российской Федерации в информационно-телекоммуникационной сети "Интернет" на последнюю отчетную дату);</w:t>
      </w:r>
    </w:p>
    <w:p>
      <w:pPr>
        <w:pStyle w:val="0"/>
        <w:spacing w:before="200" w:line-rule="auto"/>
        <w:ind w:firstLine="540"/>
        <w:jc w:val="both"/>
      </w:pPr>
      <w:r>
        <w:rPr>
          <w:sz w:val="20"/>
        </w:rPr>
        <w:t xml:space="preserve">6) отсутствие у кредитной организации просроченной (неурегулированной) задолженности по денежным обязательствам перед Рязанской областью 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7) наличие положительного аудиторского заключения по итогам работы банка за последний отчетный финансовый год, а также по отчетности, составленной в соответствии с Международными стандартами финансовой отчетности и/или Российскими стандартами бухгалтерского учета за последний отчетный финансовый год.</w:t>
      </w:r>
    </w:p>
    <w:p>
      <w:pPr>
        <w:pStyle w:val="0"/>
        <w:jc w:val="both"/>
      </w:pPr>
      <w:r>
        <w:rPr>
          <w:sz w:val="20"/>
        </w:rPr>
        <w:t xml:space="preserve">(в ред. </w:t>
      </w:r>
      <w:hyperlink w:history="0" r:id="rId45"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27.06.2023 N 250)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об универсальном платежно-сервисном</w:t>
      </w:r>
    </w:p>
    <w:p>
      <w:pPr>
        <w:pStyle w:val="0"/>
        <w:jc w:val="right"/>
      </w:pPr>
      <w:r>
        <w:rPr>
          <w:sz w:val="20"/>
        </w:rPr>
        <w:t xml:space="preserve">инструменте для населения Рязанской области -</w:t>
      </w:r>
    </w:p>
    <w:p>
      <w:pPr>
        <w:pStyle w:val="0"/>
        <w:jc w:val="right"/>
      </w:pPr>
      <w:r>
        <w:rPr>
          <w:sz w:val="20"/>
        </w:rPr>
        <w:t xml:space="preserve">цифровом сервисе "Единая цифровая</w:t>
      </w:r>
    </w:p>
    <w:p>
      <w:pPr>
        <w:pStyle w:val="0"/>
        <w:jc w:val="right"/>
      </w:pPr>
      <w:r>
        <w:rPr>
          <w:sz w:val="20"/>
        </w:rPr>
        <w:t xml:space="preserve">карта жителя Рязанской области"</w:t>
      </w:r>
    </w:p>
    <w:p>
      <w:pPr>
        <w:pStyle w:val="0"/>
        <w:jc w:val="both"/>
      </w:pPr>
      <w:r>
        <w:rPr>
          <w:sz w:val="20"/>
        </w:rPr>
      </w:r>
    </w:p>
    <w:bookmarkStart w:id="207" w:name="P207"/>
    <w:bookmarkEnd w:id="207"/>
    <w:p>
      <w:pPr>
        <w:pStyle w:val="2"/>
        <w:jc w:val="center"/>
      </w:pPr>
      <w:r>
        <w:rPr>
          <w:sz w:val="20"/>
        </w:rPr>
        <w:t xml:space="preserve">ПОЛОЖЕНИЕ</w:t>
      </w:r>
    </w:p>
    <w:p>
      <w:pPr>
        <w:pStyle w:val="2"/>
        <w:jc w:val="center"/>
      </w:pPr>
      <w:r>
        <w:rPr>
          <w:sz w:val="20"/>
        </w:rPr>
        <w:t xml:space="preserve">ОБ ОПЕРАТОРЕ ЦИФРОВОГО СЕРВИСА ЕЦК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Постановления</w:t>
              </w:r>
            </w:hyperlink>
            <w:r>
              <w:rPr>
                <w:sz w:val="20"/>
                <w:color w:val="392c69"/>
              </w:rPr>
              <w:t xml:space="preserve"> Правительства Рязанской области</w:t>
            </w:r>
          </w:p>
          <w:p>
            <w:pPr>
              <w:pStyle w:val="0"/>
              <w:jc w:val="center"/>
            </w:pPr>
            <w:r>
              <w:rPr>
                <w:sz w:val="20"/>
                <w:color w:val="392c69"/>
              </w:rPr>
              <w:t xml:space="preserve">от 27.06.2023 N 250)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Оператором Цифрового сервиса ЕЦК является юридическое лицо, отобранное уполномоченным органом на конкурсной основе для создания ИС ЕЦК, ввода в эксплуатацию, функционирования и развития ИС ЕЦК, организации выпуска, выдачи и обслуживания ЕЦК.</w:t>
      </w:r>
    </w:p>
    <w:p>
      <w:pPr>
        <w:pStyle w:val="0"/>
        <w:spacing w:before="200" w:line-rule="auto"/>
        <w:ind w:firstLine="540"/>
        <w:jc w:val="both"/>
      </w:pPr>
      <w:r>
        <w:rPr>
          <w:sz w:val="20"/>
        </w:rPr>
        <w:t xml:space="preserve">2. Оператор Цифрового сервиса ЕЦК в своей деятельности руководствуется действующим законодательством Российской Федерации и законодательством Рязанской области.</w:t>
      </w:r>
    </w:p>
    <w:p>
      <w:pPr>
        <w:pStyle w:val="0"/>
        <w:spacing w:before="200" w:line-rule="auto"/>
        <w:ind w:firstLine="540"/>
        <w:jc w:val="both"/>
      </w:pPr>
      <w:r>
        <w:rPr>
          <w:sz w:val="20"/>
        </w:rPr>
        <w:t xml:space="preserve">3. Оператор Цифрового сервиса ЕЦК:</w:t>
      </w:r>
    </w:p>
    <w:p>
      <w:pPr>
        <w:pStyle w:val="0"/>
        <w:spacing w:before="200" w:line-rule="auto"/>
        <w:ind w:firstLine="540"/>
        <w:jc w:val="both"/>
      </w:pPr>
      <w:r>
        <w:rPr>
          <w:sz w:val="20"/>
        </w:rPr>
        <w:t xml:space="preserve">- обеспечивает создание, ввод в эксплуатацию, функционирование и развитие ИС ЕЦК в соответствии с настоящим Положением;</w:t>
      </w:r>
    </w:p>
    <w:p>
      <w:pPr>
        <w:pStyle w:val="0"/>
        <w:spacing w:before="200" w:line-rule="auto"/>
        <w:ind w:firstLine="540"/>
        <w:jc w:val="both"/>
      </w:pPr>
      <w:r>
        <w:rPr>
          <w:sz w:val="20"/>
        </w:rPr>
        <w:t xml:space="preserve">- обеспечивает техническую и пользовательскую поддержку участников ИС ЕЦК;</w:t>
      </w:r>
    </w:p>
    <w:p>
      <w:pPr>
        <w:pStyle w:val="0"/>
        <w:spacing w:before="200" w:line-rule="auto"/>
        <w:ind w:firstLine="540"/>
        <w:jc w:val="both"/>
      </w:pPr>
      <w:r>
        <w:rPr>
          <w:sz w:val="20"/>
        </w:rPr>
        <w:t xml:space="preserve">- осуществляет управление ИС ЕЦК;</w:t>
      </w:r>
    </w:p>
    <w:p>
      <w:pPr>
        <w:pStyle w:val="0"/>
        <w:spacing w:before="200" w:line-rule="auto"/>
        <w:ind w:firstLine="540"/>
        <w:jc w:val="both"/>
      </w:pPr>
      <w:r>
        <w:rPr>
          <w:sz w:val="20"/>
        </w:rPr>
        <w:t xml:space="preserve">- разрабатывает и представляет на утверждение уполномоченному органу Технические требования для присоединения к ИС ЕЦК, порядок информационного обмена участников ИС ЕЦК;</w:t>
      </w:r>
    </w:p>
    <w:p>
      <w:pPr>
        <w:pStyle w:val="0"/>
        <w:spacing w:before="200" w:line-rule="auto"/>
        <w:ind w:firstLine="540"/>
        <w:jc w:val="both"/>
      </w:pPr>
      <w:r>
        <w:rPr>
          <w:sz w:val="20"/>
        </w:rPr>
        <w:t xml:space="preserve">- разрабатывает и утверждает порядок (правила) функционирования ИС ЕЦК;</w:t>
      </w:r>
    </w:p>
    <w:p>
      <w:pPr>
        <w:pStyle w:val="0"/>
        <w:spacing w:before="200" w:line-rule="auto"/>
        <w:ind w:firstLine="540"/>
        <w:jc w:val="both"/>
      </w:pPr>
      <w:r>
        <w:rPr>
          <w:sz w:val="20"/>
        </w:rPr>
        <w:t xml:space="preserve">- обеспечивает подключение к ИС ЕЦК функциональных заказчиков приложений (сервисов) ЕЦК и партнеров приложений (сервисов) ЕЦК в соответствии с соглашениями о присоединении;</w:t>
      </w:r>
    </w:p>
    <w:p>
      <w:pPr>
        <w:pStyle w:val="0"/>
        <w:spacing w:before="200" w:line-rule="auto"/>
        <w:ind w:firstLine="540"/>
        <w:jc w:val="both"/>
      </w:pPr>
      <w:r>
        <w:rPr>
          <w:sz w:val="20"/>
        </w:rPr>
        <w:t xml:space="preserve">- оценивает техническую готовность функциональных заказчиков приложений (сервисов) ЕЦК и партнеров приложений (сервисов) ЕЦК, организует выпуск и выдачу ЕЦК;</w:t>
      </w:r>
    </w:p>
    <w:p>
      <w:pPr>
        <w:pStyle w:val="0"/>
        <w:spacing w:before="200" w:line-rule="auto"/>
        <w:ind w:firstLine="540"/>
        <w:jc w:val="both"/>
      </w:pPr>
      <w:r>
        <w:rPr>
          <w:sz w:val="20"/>
        </w:rPr>
        <w:t xml:space="preserve">- устанавливает порядок ведения и ведет реестр партнеров приложений (сервисов) ЕЦК предоставляющих держателям ЕЦК доступ к программам лояльности;</w:t>
      </w:r>
    </w:p>
    <w:p>
      <w:pPr>
        <w:pStyle w:val="0"/>
        <w:spacing w:before="200" w:line-rule="auto"/>
        <w:ind w:firstLine="540"/>
        <w:jc w:val="both"/>
      </w:pPr>
      <w:r>
        <w:rPr>
          <w:sz w:val="20"/>
        </w:rPr>
        <w:t xml:space="preserve">- обеспечивает в соответствии с соглашением об информационном обмене информационный обмен данными между ИС ЕЦК и информационными системами участников ИС ЕЦК при условии их соответствия Техническим требованиям для присоединения к ИС ЕЦК;</w:t>
      </w:r>
    </w:p>
    <w:p>
      <w:pPr>
        <w:pStyle w:val="0"/>
        <w:spacing w:before="200" w:line-rule="auto"/>
        <w:ind w:firstLine="540"/>
        <w:jc w:val="both"/>
      </w:pPr>
      <w:r>
        <w:rPr>
          <w:sz w:val="20"/>
        </w:rPr>
        <w:t xml:space="preserve">- осуществляет взаимодействие с участниками ИС ЕЦК, предоставляющими меры социальной поддержки, социальные, медицинские, транспортные и иные услуги, предусмотренные законодательством Рязанской области, при приеме и обработке данных, поступивших в ИС ЕЦК, формировании отчетов по операциям с ЕЦК в соответствии с соглашением об информационном обмене;</w:t>
      </w:r>
    </w:p>
    <w:p>
      <w:pPr>
        <w:pStyle w:val="0"/>
        <w:spacing w:before="200" w:line-rule="auto"/>
        <w:ind w:firstLine="540"/>
        <w:jc w:val="both"/>
      </w:pPr>
      <w:r>
        <w:rPr>
          <w:sz w:val="20"/>
        </w:rPr>
        <w:t xml:space="preserve">- обеспечивает представление информационных отчетов (информации) участникам ИС ЕЦК в соответствии с соглашением об информационном обмене;</w:t>
      </w:r>
    </w:p>
    <w:p>
      <w:pPr>
        <w:pStyle w:val="0"/>
        <w:spacing w:before="200" w:line-rule="auto"/>
        <w:ind w:firstLine="540"/>
        <w:jc w:val="both"/>
      </w:pPr>
      <w:r>
        <w:rPr>
          <w:sz w:val="20"/>
        </w:rPr>
        <w:t xml:space="preserve">- обеспечивает соблюдение порядка ограниченного доступа участников ИС ЕЦК к отдельным видам информации согласно требованиям, установленным соглашением о присоединении;</w:t>
      </w:r>
    </w:p>
    <w:p>
      <w:pPr>
        <w:pStyle w:val="0"/>
        <w:spacing w:before="200" w:line-rule="auto"/>
        <w:ind w:firstLine="540"/>
        <w:jc w:val="both"/>
      </w:pPr>
      <w:r>
        <w:rPr>
          <w:sz w:val="20"/>
        </w:rPr>
        <w:t xml:space="preserve">- проводит претензионную работу в части обслуживания ЕЦК и ИС ЕЦК;</w:t>
      </w:r>
    </w:p>
    <w:p>
      <w:pPr>
        <w:pStyle w:val="0"/>
        <w:spacing w:before="200" w:line-rule="auto"/>
        <w:ind w:firstLine="540"/>
        <w:jc w:val="both"/>
      </w:pPr>
      <w:r>
        <w:rPr>
          <w:sz w:val="20"/>
        </w:rPr>
        <w:t xml:space="preserve">- развивает ИС ЕЦК в части ее функционального наполнения и расширения числа ее участников (в том числе функциональных заказчиков приложений (сервисов) ЕЦК и партнеров приложений (сервисов) ЕЦК.</w:t>
      </w:r>
    </w:p>
    <w:p>
      <w:pPr>
        <w:pStyle w:val="0"/>
        <w:spacing w:before="200" w:line-rule="auto"/>
        <w:ind w:firstLine="540"/>
        <w:jc w:val="both"/>
      </w:pPr>
      <w:r>
        <w:rPr>
          <w:sz w:val="20"/>
        </w:rPr>
        <w:t xml:space="preserve">4. Оператор Цифрового сервиса ЕЦК в целях организации выпуска, выдачи и обслуживания ЕЦК осуществляет следующие функции:</w:t>
      </w:r>
    </w:p>
    <w:p>
      <w:pPr>
        <w:pStyle w:val="0"/>
        <w:spacing w:before="200" w:line-rule="auto"/>
        <w:ind w:firstLine="540"/>
        <w:jc w:val="both"/>
      </w:pPr>
      <w:r>
        <w:rPr>
          <w:sz w:val="20"/>
        </w:rPr>
        <w:t xml:space="preserve">- абзац утратил силу. - </w:t>
      </w:r>
      <w:hyperlink w:history="0" r:id="rId4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0"/>
            <w:color w:val="0000ff"/>
          </w:rPr>
          <w:t xml:space="preserve">Постановление</w:t>
        </w:r>
      </w:hyperlink>
      <w:r>
        <w:rPr>
          <w:sz w:val="20"/>
        </w:rPr>
        <w:t xml:space="preserve"> Правительства Рязанской области от 27.06.2023 N 250;</w:t>
      </w:r>
    </w:p>
    <w:p>
      <w:pPr>
        <w:pStyle w:val="0"/>
        <w:spacing w:before="200" w:line-rule="auto"/>
        <w:ind w:firstLine="540"/>
        <w:jc w:val="both"/>
      </w:pPr>
      <w:r>
        <w:rPr>
          <w:sz w:val="20"/>
        </w:rPr>
        <w:t xml:space="preserve">- рассматривает заявления кредитных организаций, претендующих на участие в отношениях, связанных с выпуском, выдачей и обслуживанием ЕЦК в качестве банка-эмитента ЕЦК, и принимает решения о соответствии или несоответствии кредитной организации условиям участия кредитной организации;</w:t>
      </w:r>
    </w:p>
    <w:p>
      <w:pPr>
        <w:pStyle w:val="0"/>
        <w:spacing w:before="200" w:line-rule="auto"/>
        <w:ind w:firstLine="540"/>
        <w:jc w:val="both"/>
      </w:pPr>
      <w:r>
        <w:rPr>
          <w:sz w:val="20"/>
        </w:rPr>
        <w:t xml:space="preserve">- заключает с кредитной организацией, соответствующей условиям участия кредитной организации, соглашение о присоединении в качестве банка-эмитента ЕЦК;</w:t>
      </w:r>
    </w:p>
    <w:p>
      <w:pPr>
        <w:pStyle w:val="0"/>
        <w:spacing w:before="200" w:line-rule="auto"/>
        <w:ind w:firstLine="540"/>
        <w:jc w:val="both"/>
      </w:pPr>
      <w:r>
        <w:rPr>
          <w:sz w:val="20"/>
        </w:rPr>
        <w:t xml:space="preserve">- организует взаимодействие с банком-эмитентом при выпуске ЕЦК;</w:t>
      </w:r>
    </w:p>
    <w:p>
      <w:pPr>
        <w:pStyle w:val="0"/>
        <w:spacing w:before="200" w:line-rule="auto"/>
        <w:ind w:firstLine="540"/>
        <w:jc w:val="both"/>
      </w:pPr>
      <w:r>
        <w:rPr>
          <w:sz w:val="20"/>
        </w:rPr>
        <w:t xml:space="preserve">- организует и осуществляет обмен информацией с участниками ИС ЕЦК;</w:t>
      </w:r>
    </w:p>
    <w:p>
      <w:pPr>
        <w:pStyle w:val="0"/>
        <w:spacing w:before="200" w:line-rule="auto"/>
        <w:ind w:firstLine="540"/>
        <w:jc w:val="both"/>
      </w:pPr>
      <w:r>
        <w:rPr>
          <w:sz w:val="20"/>
        </w:rPr>
        <w:t xml:space="preserve">- осуществляет объединение сведений, содержащихся в информационных системах участников ИС ЕЦК;</w:t>
      </w:r>
    </w:p>
    <w:p>
      <w:pPr>
        <w:pStyle w:val="0"/>
        <w:spacing w:before="200" w:line-rule="auto"/>
        <w:ind w:firstLine="540"/>
        <w:jc w:val="both"/>
      </w:pPr>
      <w:r>
        <w:rPr>
          <w:sz w:val="20"/>
        </w:rPr>
        <w:t xml:space="preserve">- организует функционирование службы информационной поддержки заявителей и держателей ЕЦК;</w:t>
      </w:r>
    </w:p>
    <w:p>
      <w:pPr>
        <w:pStyle w:val="0"/>
        <w:spacing w:before="200" w:line-rule="auto"/>
        <w:ind w:firstLine="540"/>
        <w:jc w:val="both"/>
      </w:pPr>
      <w:r>
        <w:rPr>
          <w:sz w:val="20"/>
        </w:rPr>
        <w:t xml:space="preserve">- обеспечивает защиту конфиденциальной информации, полученной от заявителей, и организует соблюдение правил информационной безопасности участниками ИС ЕЦК;</w:t>
      </w:r>
    </w:p>
    <w:p>
      <w:pPr>
        <w:pStyle w:val="0"/>
        <w:spacing w:before="200" w:line-rule="auto"/>
        <w:ind w:firstLine="540"/>
        <w:jc w:val="both"/>
      </w:pPr>
      <w:r>
        <w:rPr>
          <w:sz w:val="20"/>
        </w:rPr>
        <w:t xml:space="preserve">- обеспечивает методическое сопровождение деятельности сотрудников участников ИС ЕЦК, в том числе в сфере обмена информацией и информационной безопасности;</w:t>
      </w:r>
    </w:p>
    <w:p>
      <w:pPr>
        <w:pStyle w:val="0"/>
        <w:spacing w:before="200" w:line-rule="auto"/>
        <w:ind w:firstLine="540"/>
        <w:jc w:val="both"/>
      </w:pPr>
      <w:r>
        <w:rPr>
          <w:sz w:val="20"/>
        </w:rPr>
        <w:t xml:space="preserve">- заключает с партнерами приложений (сервисов) ЕЦК соглашения о присоединение в качестве партнеров приложений (сервисов) ЕЦК;</w:t>
      </w:r>
    </w:p>
    <w:p>
      <w:pPr>
        <w:pStyle w:val="0"/>
        <w:spacing w:before="200" w:line-rule="auto"/>
        <w:ind w:firstLine="540"/>
        <w:jc w:val="both"/>
      </w:pPr>
      <w:r>
        <w:rPr>
          <w:sz w:val="20"/>
        </w:rPr>
        <w:t xml:space="preserve">- определяет порядок ведения и ведет реестр ЕЦК, содержащий данные держателей ЕЦК;</w:t>
      </w:r>
    </w:p>
    <w:p>
      <w:pPr>
        <w:pStyle w:val="0"/>
        <w:spacing w:before="200" w:line-rule="auto"/>
        <w:ind w:firstLine="540"/>
        <w:jc w:val="both"/>
      </w:pPr>
      <w:r>
        <w:rPr>
          <w:sz w:val="20"/>
        </w:rPr>
        <w:t xml:space="preserve">- реализует иные функции, предусмотренные настоящим Положением.</w:t>
      </w:r>
    </w:p>
    <w:p>
      <w:pPr>
        <w:pStyle w:val="0"/>
        <w:spacing w:before="200" w:line-rule="auto"/>
        <w:ind w:firstLine="540"/>
        <w:jc w:val="both"/>
      </w:pPr>
      <w:r>
        <w:rPr>
          <w:sz w:val="20"/>
        </w:rPr>
        <w:t xml:space="preserve">5. Оператор Цифрового сервиса ЕЦК для осуществления своих функций вправе:</w:t>
      </w:r>
    </w:p>
    <w:p>
      <w:pPr>
        <w:pStyle w:val="0"/>
        <w:spacing w:before="200" w:line-rule="auto"/>
        <w:ind w:firstLine="540"/>
        <w:jc w:val="both"/>
      </w:pPr>
      <w:r>
        <w:rPr>
          <w:sz w:val="20"/>
        </w:rPr>
        <w:t xml:space="preserve">- запрашивать и получать от участников ИС ЕЦК информацию, необходимую для осуществления своих функций;</w:t>
      </w:r>
    </w:p>
    <w:p>
      <w:pPr>
        <w:pStyle w:val="0"/>
        <w:spacing w:before="200" w:line-rule="auto"/>
        <w:ind w:firstLine="540"/>
        <w:jc w:val="both"/>
      </w:pPr>
      <w:r>
        <w:rPr>
          <w:sz w:val="20"/>
        </w:rPr>
        <w:t xml:space="preserve">- разрабатывать методические материалы, технические руководства, регламенты по вопросам, входящим в его компетенцию;</w:t>
      </w:r>
    </w:p>
    <w:p>
      <w:pPr>
        <w:pStyle w:val="0"/>
        <w:spacing w:before="200" w:line-rule="auto"/>
        <w:ind w:firstLine="540"/>
        <w:jc w:val="both"/>
      </w:pPr>
      <w:r>
        <w:rPr>
          <w:sz w:val="20"/>
        </w:rPr>
        <w:t xml:space="preserve">- приобретать необходимые программы для ЭВМ, разрабатывать, осуществлять переработку (модификацию) программ для ЭВМ или баз данных (в том числе с привлечением третьих лиц).</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25.10.2022 N 380</w:t>
            <w:br/>
            <w:t>(ред. от 14.01.2025)</w:t>
            <w:br/>
            <w:t>"О реализации цифрового сервиса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398474&amp;dst=100005" TargetMode = "External"/>
	<Relationship Id="rId8" Type="http://schemas.openxmlformats.org/officeDocument/2006/relationships/hyperlink" Target="https://login.consultant.ru/link/?req=doc&amp;base=RLAW073&amp;n=429888&amp;dst=100005" TargetMode = "External"/>
	<Relationship Id="rId9" Type="http://schemas.openxmlformats.org/officeDocument/2006/relationships/hyperlink" Target="https://login.consultant.ru/link/?req=doc&amp;base=RLAW073&amp;n=451523&amp;dst=100005" TargetMode = "External"/>
	<Relationship Id="rId10" Type="http://schemas.openxmlformats.org/officeDocument/2006/relationships/hyperlink" Target="https://login.consultant.ru/link/?req=doc&amp;base=RLAW073&amp;n=398474&amp;dst=100006" TargetMode = "External"/>
	<Relationship Id="rId11" Type="http://schemas.openxmlformats.org/officeDocument/2006/relationships/hyperlink" Target="https://login.consultant.ru/link/?req=doc&amp;base=RLAW073&amp;n=398474&amp;dst=100007" TargetMode = "External"/>
	<Relationship Id="rId12" Type="http://schemas.openxmlformats.org/officeDocument/2006/relationships/hyperlink" Target="https://login.consultant.ru/link/?req=doc&amp;base=RLAW073&amp;n=429888&amp;dst=100005" TargetMode = "External"/>
	<Relationship Id="rId13" Type="http://schemas.openxmlformats.org/officeDocument/2006/relationships/hyperlink" Target="https://login.consultant.ru/link/?req=doc&amp;base=RLAW073&amp;n=451523&amp;dst=100005" TargetMode = "External"/>
	<Relationship Id="rId14" Type="http://schemas.openxmlformats.org/officeDocument/2006/relationships/hyperlink" Target="https://login.consultant.ru/link/?req=doc&amp;base=RLAW073&amp;n=451523&amp;dst=100007" TargetMode = "External"/>
	<Relationship Id="rId15" Type="http://schemas.openxmlformats.org/officeDocument/2006/relationships/hyperlink" Target="https://login.consultant.ru/link/?req=doc&amp;base=RLAW073&amp;n=398474&amp;dst=100011" TargetMode = "External"/>
	<Relationship Id="rId16" Type="http://schemas.openxmlformats.org/officeDocument/2006/relationships/hyperlink" Target="https://login.consultant.ru/link/?req=doc&amp;base=RLAW073&amp;n=398474&amp;dst=100012" TargetMode = "External"/>
	<Relationship Id="rId17" Type="http://schemas.openxmlformats.org/officeDocument/2006/relationships/hyperlink" Target="https://login.consultant.ru/link/?req=doc&amp;base=RLAW073&amp;n=398474&amp;dst=100013" TargetMode = "External"/>
	<Relationship Id="rId18" Type="http://schemas.openxmlformats.org/officeDocument/2006/relationships/hyperlink" Target="https://login.consultant.ru/link/?req=doc&amp;base=RLAW073&amp;n=398474&amp;dst=100014" TargetMode = "External"/>
	<Relationship Id="rId19" Type="http://schemas.openxmlformats.org/officeDocument/2006/relationships/hyperlink" Target="https://login.consultant.ru/link/?req=doc&amp;base=RLAW073&amp;n=451523&amp;dst=100009" TargetMode = "External"/>
	<Relationship Id="rId20" Type="http://schemas.openxmlformats.org/officeDocument/2006/relationships/hyperlink" Target="https://login.consultant.ru/link/?req=doc&amp;base=RLAW073&amp;n=398474&amp;dst=100015" TargetMode = "External"/>
	<Relationship Id="rId21" Type="http://schemas.openxmlformats.org/officeDocument/2006/relationships/hyperlink" Target="https://login.consultant.ru/link/?req=doc&amp;base=RLAW073&amp;n=398474&amp;dst=100017" TargetMode = "External"/>
	<Relationship Id="rId22" Type="http://schemas.openxmlformats.org/officeDocument/2006/relationships/hyperlink" Target="https://login.consultant.ru/link/?req=doc&amp;base=RLAW073&amp;n=429888&amp;dst=100006" TargetMode = "External"/>
	<Relationship Id="rId23" Type="http://schemas.openxmlformats.org/officeDocument/2006/relationships/hyperlink" Target="https://login.consultant.ru/link/?req=doc&amp;base=RLAW073&amp;n=398474&amp;dst=100018" TargetMode = "External"/>
	<Relationship Id="rId24" Type="http://schemas.openxmlformats.org/officeDocument/2006/relationships/hyperlink" Target="https://login.consultant.ru/link/?req=doc&amp;base=RLAW073&amp;n=429888&amp;dst=100007" TargetMode = "External"/>
	<Relationship Id="rId25" Type="http://schemas.openxmlformats.org/officeDocument/2006/relationships/hyperlink" Target="https://login.consultant.ru/link/?req=doc&amp;base=RLAW073&amp;n=398474&amp;dst=100019" TargetMode = "External"/>
	<Relationship Id="rId26" Type="http://schemas.openxmlformats.org/officeDocument/2006/relationships/hyperlink" Target="https://login.consultant.ru/link/?req=doc&amp;base=RLAW073&amp;n=398474&amp;dst=100020" TargetMode = "External"/>
	<Relationship Id="rId27" Type="http://schemas.openxmlformats.org/officeDocument/2006/relationships/hyperlink" Target="https://login.consultant.ru/link/?req=doc&amp;base=RLAW073&amp;n=429888&amp;dst=100007" TargetMode = "External"/>
	<Relationship Id="rId28" Type="http://schemas.openxmlformats.org/officeDocument/2006/relationships/hyperlink" Target="https://login.consultant.ru/link/?req=doc&amp;base=RLAW073&amp;n=398474&amp;dst=100022" TargetMode = "External"/>
	<Relationship Id="rId29" Type="http://schemas.openxmlformats.org/officeDocument/2006/relationships/hyperlink" Target="https://login.consultant.ru/link/?req=doc&amp;base=RLAW073&amp;n=398474&amp;dst=100024" TargetMode = "External"/>
	<Relationship Id="rId30" Type="http://schemas.openxmlformats.org/officeDocument/2006/relationships/hyperlink" Target="https://login.consultant.ru/link/?req=doc&amp;base=RLAW073&amp;n=398474&amp;dst=100027" TargetMode = "External"/>
	<Relationship Id="rId31" Type="http://schemas.openxmlformats.org/officeDocument/2006/relationships/hyperlink" Target="https://login.consultant.ru/link/?req=doc&amp;base=RLAW073&amp;n=398474&amp;dst=100029" TargetMode = "External"/>
	<Relationship Id="rId32" Type="http://schemas.openxmlformats.org/officeDocument/2006/relationships/hyperlink" Target="https://login.consultant.ru/link/?req=doc&amp;base=RLAW073&amp;n=398474&amp;dst=100030" TargetMode = "External"/>
	<Relationship Id="rId33" Type="http://schemas.openxmlformats.org/officeDocument/2006/relationships/hyperlink" Target="https://login.consultant.ru/link/?req=doc&amp;base=RLAW073&amp;n=398474&amp;dst=100031" TargetMode = "External"/>
	<Relationship Id="rId34" Type="http://schemas.openxmlformats.org/officeDocument/2006/relationships/hyperlink" Target="https://login.consultant.ru/link/?req=doc&amp;base=RLAW073&amp;n=398474&amp;dst=100033" TargetMode = "External"/>
	<Relationship Id="rId35" Type="http://schemas.openxmlformats.org/officeDocument/2006/relationships/hyperlink" Target="https://login.consultant.ru/link/?req=doc&amp;base=RLAW073&amp;n=398474&amp;dst=100035" TargetMode = "External"/>
	<Relationship Id="rId36" Type="http://schemas.openxmlformats.org/officeDocument/2006/relationships/hyperlink" Target="https://login.consultant.ru/link/?req=doc&amp;base=RLAW073&amp;n=398474&amp;dst=100036" TargetMode = "External"/>
	<Relationship Id="rId37" Type="http://schemas.openxmlformats.org/officeDocument/2006/relationships/hyperlink" Target="https://login.consultant.ru/link/?req=doc&amp;base=RLAW073&amp;n=398474&amp;dst=100037" TargetMode = "External"/>
	<Relationship Id="rId38" Type="http://schemas.openxmlformats.org/officeDocument/2006/relationships/hyperlink" Target="https://login.consultant.ru/link/?req=doc&amp;base=RLAW073&amp;n=451523&amp;dst=100014" TargetMode = "External"/>
	<Relationship Id="rId39" Type="http://schemas.openxmlformats.org/officeDocument/2006/relationships/hyperlink" Target="https://login.consultant.ru/link/?req=doc&amp;base=RLAW073&amp;n=451523&amp;dst=100019" TargetMode = "External"/>
	<Relationship Id="rId40" Type="http://schemas.openxmlformats.org/officeDocument/2006/relationships/hyperlink" Target="https://login.consultant.ru/link/?req=doc&amp;base=RLAW073&amp;n=398474&amp;dst=100039" TargetMode = "External"/>
	<Relationship Id="rId41" Type="http://schemas.openxmlformats.org/officeDocument/2006/relationships/hyperlink" Target="https://login.consultant.ru/link/?req=doc&amp;base=LAW&amp;n=494982" TargetMode = "External"/>
	<Relationship Id="rId42" Type="http://schemas.openxmlformats.org/officeDocument/2006/relationships/hyperlink" Target="https://login.consultant.ru/link/?req=doc&amp;base=RLAW073&amp;n=398474&amp;dst=100040" TargetMode = "External"/>
	<Relationship Id="rId43" Type="http://schemas.openxmlformats.org/officeDocument/2006/relationships/hyperlink" Target="https://login.consultant.ru/link/?req=doc&amp;base=LAW&amp;n=494992" TargetMode = "External"/>
	<Relationship Id="rId44" Type="http://schemas.openxmlformats.org/officeDocument/2006/relationships/hyperlink" Target="https://login.consultant.ru/link/?req=doc&amp;base=LAW&amp;n=472537" TargetMode = "External"/>
	<Relationship Id="rId45" Type="http://schemas.openxmlformats.org/officeDocument/2006/relationships/hyperlink" Target="https://login.consultant.ru/link/?req=doc&amp;base=RLAW073&amp;n=398474&amp;dst=100041" TargetMode = "External"/>
	<Relationship Id="rId46" Type="http://schemas.openxmlformats.org/officeDocument/2006/relationships/hyperlink" Target="https://login.consultant.ru/link/?req=doc&amp;base=RLAW073&amp;n=398474&amp;dst=100042" TargetMode = "External"/>
	<Relationship Id="rId47" Type="http://schemas.openxmlformats.org/officeDocument/2006/relationships/hyperlink" Target="https://login.consultant.ru/link/?req=doc&amp;base=RLAW073&amp;n=398474&amp;dst=1000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Рязанской области от 25.10.2022 N 380
(ред. от 14.01.2025)
"О реализации цифрового сервиса "Единая цифровая карта жителя Рязанской области"
(вместе с "Положением об универсальном платежно-сервисном инструменте для населения Рязанской области...", "Условиями участия кредитной организации в качестве банка-эмитента ЕЦК", "Положением об операторе цифрового сервиса ЕЦК")</dc:title>
  <dcterms:created xsi:type="dcterms:W3CDTF">2025-01-16T08:27:40Z</dcterms:created>
</cp:coreProperties>
</file>