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Минтранса Рязанской области от 20.07.2016 N 18</w:t>
              <w:br/>
              <w:t xml:space="preserve">(ред. от 23.01.2025)</w:t>
              <w:br/>
              <w:t xml:space="preserve">"Об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ТРАНСПОРТА И АВТОМОБИЛЬНЫХ ДОРОГ</w:t>
      </w:r>
    </w:p>
    <w:p>
      <w:pPr>
        <w:pStyle w:val="2"/>
        <w:jc w:val="center"/>
      </w:pPr>
      <w:r>
        <w:rPr>
          <w:sz w:val="20"/>
        </w:rPr>
        <w:t xml:space="preserve">РЯЗАНСКОЙ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июля 2016 г. N 18</w:t>
      </w:r>
    </w:p>
    <w:p>
      <w:pPr>
        <w:pStyle w:val="2"/>
        <w:jc w:val="center"/>
      </w:pPr>
      <w:r>
        <w:rPr>
          <w:sz w:val="20"/>
        </w:rPr>
      </w:r>
    </w:p>
    <w:p>
      <w:pPr>
        <w:pStyle w:val="2"/>
        <w:jc w:val="center"/>
      </w:pPr>
      <w:r>
        <w:rPr>
          <w:sz w:val="20"/>
        </w:rPr>
        <w:t xml:space="preserve">ОБ УСТАНОВЛЕНИИ ШКАЛЫ КРИТЕРИЕВ ДЛЯ ОЦЕНКИ И СОПОСТАВЛЕНИЯ</w:t>
      </w:r>
    </w:p>
    <w:p>
      <w:pPr>
        <w:pStyle w:val="2"/>
        <w:jc w:val="center"/>
      </w:pPr>
      <w:r>
        <w:rPr>
          <w:sz w:val="20"/>
        </w:rPr>
        <w:t xml:space="preserve">ЗАЯВОК НА УЧАСТИЕ В ОТКРЫТОМ КОНКУРСЕ НА ПРАВО ПОЛУЧЕНИЯ</w:t>
      </w:r>
    </w:p>
    <w:p>
      <w:pPr>
        <w:pStyle w:val="2"/>
        <w:jc w:val="center"/>
      </w:pPr>
      <w:r>
        <w:rPr>
          <w:sz w:val="20"/>
        </w:rPr>
        <w:t xml:space="preserve">СВИДЕТЕЛЬСТВА ОБ ОСУЩЕСТВЛЕНИИ ПЕРЕВОЗОК ПО МЕЖМУНИЦИПАЛЬНЫМ</w:t>
      </w:r>
    </w:p>
    <w:p>
      <w:pPr>
        <w:pStyle w:val="2"/>
        <w:jc w:val="center"/>
      </w:pPr>
      <w:r>
        <w:rPr>
          <w:sz w:val="20"/>
        </w:rPr>
        <w:t xml:space="preserve">МАРШРУТАМ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Минтранса Рязанской области</w:t>
            </w:r>
          </w:p>
          <w:p>
            <w:pPr>
              <w:pStyle w:val="0"/>
              <w:jc w:val="center"/>
            </w:pPr>
            <w:r>
              <w:rPr>
                <w:sz w:val="20"/>
                <w:color w:val="392c69"/>
              </w:rPr>
              <w:t xml:space="preserve">от 05.06.2019 </w:t>
            </w:r>
            <w:hyperlink w:history="0" r:id="rId7" w:tooltip="Постановление Минтранса Рязанской области от 05.06.2019 N 11 &quot;О внесении изменений в Постановление министерства транспорта и автомобильных дорог Рязанской области от 20 июля 2016 г. N 18 &quot;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quot; {КонсультантПлюс}">
              <w:r>
                <w:rPr>
                  <w:sz w:val="20"/>
                  <w:color w:val="0000ff"/>
                </w:rPr>
                <w:t xml:space="preserve">N 11</w:t>
              </w:r>
            </w:hyperlink>
            <w:r>
              <w:rPr>
                <w:sz w:val="20"/>
                <w:color w:val="392c69"/>
              </w:rPr>
              <w:t xml:space="preserve">, от 11.06.2024 </w:t>
            </w:r>
            <w:hyperlink w:history="0" r:id="rId8" w:tooltip="Постановление Минтранса Рязанской области от 11.06.2024 N 11 &quot;О внесении изменения в Постановление министерства транспорта и автомобильных дорог Рязанской области от 20 июля 2016 г. N 18 &quot;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quot; (в редакции Постановления Минтранса Рязанской области от 05.06.2019 N 11)&quot; {КонсультантПлюс}">
              <w:r>
                <w:rPr>
                  <w:sz w:val="20"/>
                  <w:color w:val="0000ff"/>
                </w:rPr>
                <w:t xml:space="preserve">N 11</w:t>
              </w:r>
            </w:hyperlink>
            <w:r>
              <w:rPr>
                <w:sz w:val="20"/>
                <w:color w:val="392c69"/>
              </w:rPr>
              <w:t xml:space="preserve">, от 23.01.2025 </w:t>
            </w:r>
            <w:hyperlink w:history="0" r:id="rId9" w:tooltip="Постановление Минтранса Рязанской области от 23.01.2025 N 2 &quot;О внесении изменений в постановление министерства транспорта и автомобильных дорог Рязанской области от 20 июля 2016 г. N 18 &quot;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quot; (в редакции постановлений Минтранса Рязанской области от 05.06.2019 N 11, от 11.06.2024 N 11)&quot; {КонсультантПлюс}">
              <w:r>
                <w:rPr>
                  <w:sz w:val="20"/>
                  <w:color w:val="0000ff"/>
                </w:rPr>
                <w:t xml:space="preserve">N 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положениями </w:t>
      </w:r>
      <w:hyperlink w:history="0" r:id="rId1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статьи 24</w:t>
        </w:r>
      </w:hyperlink>
      <w:r>
        <w:rPr>
          <w:sz w:val="20"/>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hyperlink w:history="0" r:id="rId11" w:tooltip="Закон Рязанской области от 06.06.2016 N 27-ОЗ (ред. от 25.12.2024) &quot;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quot; (принят Постановлением Рязанской областной Думы от 24.05.2016 N 156-VI РОД) {КонсультантПлюс}">
        <w:r>
          <w:rPr>
            <w:sz w:val="20"/>
            <w:color w:val="0000ff"/>
          </w:rPr>
          <w:t xml:space="preserve">статьи 4</w:t>
        </w:r>
      </w:hyperlink>
      <w:r>
        <w:rPr>
          <w:sz w:val="20"/>
        </w:rPr>
        <w:t xml:space="preserve"> Закона Рязанской области от 6 июня 2016 года N 27-ОЗ "Об отдельных вопросах правового регулирования отношений по организации регулярных перевозок пассажиров и багажа автомобильным транспортом и городским наземным электрическим транспортом в Рязанской области" министерство транспорта и автомобильных дорог Рязанской области постановляет:</w:t>
      </w:r>
    </w:p>
    <w:p>
      <w:pPr>
        <w:pStyle w:val="0"/>
        <w:spacing w:before="200" w:line-rule="auto"/>
        <w:ind w:firstLine="540"/>
        <w:jc w:val="both"/>
      </w:pPr>
      <w:r>
        <w:rPr>
          <w:sz w:val="20"/>
        </w:rPr>
        <w:t xml:space="preserve">1. Установить </w:t>
      </w:r>
      <w:hyperlink w:history="0" w:anchor="P34" w:tooltip="ШКАЛА КРИТЕРИЕВ">
        <w:r>
          <w:rPr>
            <w:sz w:val="20"/>
            <w:color w:val="0000ff"/>
          </w:rPr>
          <w:t xml:space="preserve">шкалу критериев</w:t>
        </w:r>
      </w:hyperlink>
      <w:r>
        <w:rPr>
          <w:sz w:val="20"/>
        </w:rPr>
        <w:t xml:space="preserve">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согласно приложению.</w:t>
      </w:r>
    </w:p>
    <w:p>
      <w:pPr>
        <w:pStyle w:val="0"/>
        <w:spacing w:before="200" w:line-rule="auto"/>
        <w:ind w:firstLine="540"/>
        <w:jc w:val="both"/>
      </w:pPr>
      <w:r>
        <w:rPr>
          <w:sz w:val="20"/>
        </w:rPr>
        <w:t xml:space="preserve">2. Настоящее постановление вступает в силу со дня его подписания.</w:t>
      </w:r>
    </w:p>
    <w:p>
      <w:pPr>
        <w:pStyle w:val="0"/>
        <w:spacing w:before="200" w:line-rule="auto"/>
        <w:ind w:firstLine="540"/>
        <w:jc w:val="both"/>
      </w:pPr>
      <w:r>
        <w:rPr>
          <w:sz w:val="20"/>
        </w:rPr>
        <w:t xml:space="preserve">3. Контроль за исполнением настоящего постановления оставляю за собой.</w:t>
      </w:r>
    </w:p>
    <w:p>
      <w:pPr>
        <w:pStyle w:val="0"/>
        <w:jc w:val="both"/>
      </w:pPr>
      <w:r>
        <w:rPr>
          <w:sz w:val="20"/>
        </w:rPr>
      </w:r>
    </w:p>
    <w:p>
      <w:pPr>
        <w:pStyle w:val="0"/>
        <w:jc w:val="right"/>
      </w:pPr>
      <w:r>
        <w:rPr>
          <w:sz w:val="20"/>
        </w:rPr>
        <w:t xml:space="preserve">И.о. министра</w:t>
      </w:r>
    </w:p>
    <w:p>
      <w:pPr>
        <w:pStyle w:val="0"/>
        <w:jc w:val="right"/>
      </w:pPr>
      <w:r>
        <w:rPr>
          <w:sz w:val="20"/>
        </w:rPr>
        <w:t xml:space="preserve">В.В.ЕРЕМИН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министерства транспорта и</w:t>
      </w:r>
    </w:p>
    <w:p>
      <w:pPr>
        <w:pStyle w:val="0"/>
        <w:jc w:val="right"/>
      </w:pPr>
      <w:r>
        <w:rPr>
          <w:sz w:val="20"/>
        </w:rPr>
        <w:t xml:space="preserve">автомобильных дорог</w:t>
      </w:r>
    </w:p>
    <w:p>
      <w:pPr>
        <w:pStyle w:val="0"/>
        <w:jc w:val="right"/>
      </w:pPr>
      <w:r>
        <w:rPr>
          <w:sz w:val="20"/>
        </w:rPr>
        <w:t xml:space="preserve">Рязанской области</w:t>
      </w:r>
    </w:p>
    <w:p>
      <w:pPr>
        <w:pStyle w:val="0"/>
        <w:jc w:val="right"/>
      </w:pPr>
      <w:r>
        <w:rPr>
          <w:sz w:val="20"/>
        </w:rPr>
        <w:t xml:space="preserve">от 20 июля 2016 г. N 18</w:t>
      </w:r>
    </w:p>
    <w:p>
      <w:pPr>
        <w:pStyle w:val="0"/>
        <w:jc w:val="both"/>
      </w:pPr>
      <w:r>
        <w:rPr>
          <w:sz w:val="20"/>
        </w:rPr>
      </w:r>
    </w:p>
    <w:bookmarkStart w:id="34" w:name="P34"/>
    <w:bookmarkEnd w:id="34"/>
    <w:p>
      <w:pPr>
        <w:pStyle w:val="2"/>
        <w:jc w:val="center"/>
      </w:pPr>
      <w:r>
        <w:rPr>
          <w:sz w:val="20"/>
        </w:rPr>
        <w:t xml:space="preserve">ШКАЛА КРИТЕРИЕВ</w:t>
      </w:r>
    </w:p>
    <w:p>
      <w:pPr>
        <w:pStyle w:val="2"/>
        <w:jc w:val="center"/>
      </w:pPr>
      <w:r>
        <w:rPr>
          <w:sz w:val="20"/>
        </w:rPr>
        <w:t xml:space="preserve">ДЛЯ ОЦЕНКИ И СОПОСТАВЛЕНИЯ ЗАЯВОК НА УЧАСТИЕ В ОТКРЫТОМ</w:t>
      </w:r>
    </w:p>
    <w:p>
      <w:pPr>
        <w:pStyle w:val="2"/>
        <w:jc w:val="center"/>
      </w:pPr>
      <w:r>
        <w:rPr>
          <w:sz w:val="20"/>
        </w:rPr>
        <w:t xml:space="preserve">КОНКУРСЕ НА ПРАВО ПОЛУЧЕНИЯ СВИДЕТЕЛЬСТВА ОБ ОСУЩЕСТВЛЕНИИ</w:t>
      </w:r>
    </w:p>
    <w:p>
      <w:pPr>
        <w:pStyle w:val="2"/>
        <w:jc w:val="center"/>
      </w:pPr>
      <w:r>
        <w:rPr>
          <w:sz w:val="20"/>
        </w:rPr>
        <w:t xml:space="preserve">ПЕРЕВОЗОК ПО МЕЖМУНИЦИПАЛЬНЫМ МАРШРУТАМ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Минтранса Рязанской области</w:t>
            </w:r>
          </w:p>
          <w:p>
            <w:pPr>
              <w:pStyle w:val="0"/>
              <w:jc w:val="center"/>
            </w:pPr>
            <w:r>
              <w:rPr>
                <w:sz w:val="20"/>
                <w:color w:val="392c69"/>
              </w:rPr>
              <w:t xml:space="preserve">от 05.06.2019 </w:t>
            </w:r>
            <w:hyperlink w:history="0" r:id="rId12" w:tooltip="Постановление Минтранса Рязанской области от 05.06.2019 N 11 &quot;О внесении изменений в Постановление министерства транспорта и автомобильных дорог Рязанской области от 20 июля 2016 г. N 18 &quot;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quot; {КонсультантПлюс}">
              <w:r>
                <w:rPr>
                  <w:sz w:val="20"/>
                  <w:color w:val="0000ff"/>
                </w:rPr>
                <w:t xml:space="preserve">N 11</w:t>
              </w:r>
            </w:hyperlink>
            <w:r>
              <w:rPr>
                <w:sz w:val="20"/>
                <w:color w:val="392c69"/>
              </w:rPr>
              <w:t xml:space="preserve">, от 11.06.2024 </w:t>
            </w:r>
            <w:hyperlink w:history="0" r:id="rId13" w:tooltip="Постановление Минтранса Рязанской области от 11.06.2024 N 11 &quot;О внесении изменения в Постановление министерства транспорта и автомобильных дорог Рязанской области от 20 июля 2016 г. N 18 &quot;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quot; (в редакции Постановления Минтранса Рязанской области от 05.06.2019 N 11)&quot; {КонсультантПлюс}">
              <w:r>
                <w:rPr>
                  <w:sz w:val="20"/>
                  <w:color w:val="0000ff"/>
                </w:rPr>
                <w:t xml:space="preserve">N 11</w:t>
              </w:r>
            </w:hyperlink>
            <w:r>
              <w:rPr>
                <w:sz w:val="20"/>
                <w:color w:val="392c69"/>
              </w:rPr>
              <w:t xml:space="preserve">, от 23.01.2025 </w:t>
            </w:r>
            <w:hyperlink w:history="0" r:id="rId14" w:tooltip="Постановление Минтранса Рязанской области от 23.01.2025 N 2 &quot;О внесении изменений в постановление министерства транспорта и автомобильных дорог Рязанской области от 20 июля 2016 г. N 18 &quot;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quot; (в редакции постановлений Минтранса Рязанской области от 05.06.2019 N 11, от 11.06.2024 N 11)&quot; {КонсультантПлюс}">
              <w:r>
                <w:rPr>
                  <w:sz w:val="20"/>
                  <w:color w:val="0000ff"/>
                </w:rPr>
                <w:t xml:space="preserve">N 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2981"/>
        <w:gridCol w:w="1332"/>
        <w:gridCol w:w="1503"/>
        <w:gridCol w:w="1385"/>
        <w:gridCol w:w="340"/>
        <w:gridCol w:w="964"/>
      </w:tblGrid>
      <w:tr>
        <w:tc>
          <w:tcPr>
            <w:tcW w:w="576" w:type="dxa"/>
          </w:tcPr>
          <w:p>
            <w:pPr>
              <w:pStyle w:val="0"/>
              <w:jc w:val="center"/>
            </w:pPr>
            <w:r>
              <w:rPr>
                <w:sz w:val="20"/>
              </w:rPr>
              <w:t xml:space="preserve">NN пп</w:t>
            </w:r>
          </w:p>
        </w:tc>
        <w:tc>
          <w:tcPr>
            <w:gridSpan w:val="5"/>
            <w:tcW w:w="7541" w:type="dxa"/>
          </w:tcPr>
          <w:p>
            <w:pPr>
              <w:pStyle w:val="0"/>
              <w:jc w:val="center"/>
            </w:pPr>
            <w:r>
              <w:rPr>
                <w:sz w:val="20"/>
              </w:rPr>
              <w:t xml:space="preserve">Наименование критерия</w:t>
            </w:r>
          </w:p>
        </w:tc>
        <w:tc>
          <w:tcPr>
            <w:tcW w:w="964" w:type="dxa"/>
          </w:tcPr>
          <w:p>
            <w:pPr>
              <w:pStyle w:val="0"/>
              <w:jc w:val="center"/>
            </w:pPr>
            <w:r>
              <w:rPr>
                <w:sz w:val="20"/>
              </w:rPr>
              <w:t xml:space="preserve">Баллы</w:t>
            </w:r>
          </w:p>
        </w:tc>
      </w:tr>
      <w:tr>
        <w:tc>
          <w:tcPr>
            <w:tcW w:w="576" w:type="dxa"/>
          </w:tcPr>
          <w:p>
            <w:pPr>
              <w:pStyle w:val="0"/>
              <w:jc w:val="center"/>
            </w:pPr>
            <w:r>
              <w:rPr>
                <w:sz w:val="20"/>
              </w:rPr>
              <w:t xml:space="preserve">1.</w:t>
            </w:r>
          </w:p>
        </w:tc>
        <w:tc>
          <w:tcPr>
            <w:gridSpan w:val="6"/>
            <w:tcW w:w="8505" w:type="dxa"/>
          </w:tcPr>
          <w:p>
            <w:pPr>
              <w:pStyle w:val="0"/>
            </w:pPr>
            <w:r>
              <w:rPr>
                <w:sz w:val="20"/>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hyperlink w:history="0" w:anchor="P137" w:tooltip="&lt;*&gt; по показателю 1 для претендентов, не осуществлявших деятельность по регулярным перевозкам пассажиров в течение двенадцати месяцев, предшествующих дате размещения извещения о проведении открытого конкурса, количество баллов принимается равным 0 (нулю).">
              <w:r>
                <w:rPr>
                  <w:sz w:val="20"/>
                  <w:color w:val="0000ff"/>
                </w:rPr>
                <w:t xml:space="preserve">&lt;*&gt;</w:t>
              </w:r>
            </w:hyperlink>
          </w:p>
        </w:tc>
      </w:tr>
      <w:tr>
        <w:tc>
          <w:tcPr>
            <w:tcW w:w="576" w:type="dxa"/>
          </w:tcPr>
          <w:p>
            <w:pPr>
              <w:pStyle w:val="0"/>
              <w:jc w:val="center"/>
            </w:pPr>
            <w:r>
              <w:rPr>
                <w:sz w:val="20"/>
              </w:rPr>
              <w:t xml:space="preserve">1.1.</w:t>
            </w:r>
          </w:p>
        </w:tc>
        <w:tc>
          <w:tcPr>
            <w:gridSpan w:val="5"/>
            <w:tcW w:w="7541" w:type="dxa"/>
          </w:tcPr>
          <w:p>
            <w:pPr>
              <w:pStyle w:val="0"/>
            </w:pPr>
            <w:r>
              <w:rPr>
                <w:sz w:val="20"/>
              </w:rPr>
              <w:t xml:space="preserve">0</w:t>
            </w:r>
          </w:p>
        </w:tc>
        <w:tc>
          <w:tcPr>
            <w:tcW w:w="964" w:type="dxa"/>
          </w:tcPr>
          <w:p>
            <w:pPr>
              <w:pStyle w:val="0"/>
              <w:jc w:val="center"/>
            </w:pPr>
            <w:r>
              <w:rPr>
                <w:sz w:val="20"/>
              </w:rPr>
              <w:t xml:space="preserve">30</w:t>
            </w:r>
          </w:p>
        </w:tc>
      </w:tr>
      <w:tr>
        <w:tc>
          <w:tcPr>
            <w:tcW w:w="576" w:type="dxa"/>
          </w:tcPr>
          <w:p>
            <w:pPr>
              <w:pStyle w:val="0"/>
              <w:jc w:val="center"/>
            </w:pPr>
            <w:r>
              <w:rPr>
                <w:sz w:val="20"/>
              </w:rPr>
              <w:t xml:space="preserve">1.2.</w:t>
            </w:r>
          </w:p>
        </w:tc>
        <w:tc>
          <w:tcPr>
            <w:gridSpan w:val="5"/>
            <w:tcW w:w="7541" w:type="dxa"/>
          </w:tcPr>
          <w:p>
            <w:pPr>
              <w:pStyle w:val="0"/>
            </w:pPr>
            <w:r>
              <w:rPr>
                <w:sz w:val="20"/>
              </w:rPr>
              <w:t xml:space="preserve">от 0 до 0,1 включительно</w:t>
            </w:r>
          </w:p>
        </w:tc>
        <w:tc>
          <w:tcPr>
            <w:tcW w:w="964" w:type="dxa"/>
          </w:tcPr>
          <w:p>
            <w:pPr>
              <w:pStyle w:val="0"/>
              <w:jc w:val="center"/>
            </w:pPr>
            <w:r>
              <w:rPr>
                <w:sz w:val="20"/>
              </w:rPr>
              <w:t xml:space="preserve">20</w:t>
            </w:r>
          </w:p>
        </w:tc>
      </w:tr>
      <w:tr>
        <w:tc>
          <w:tcPr>
            <w:tcW w:w="576" w:type="dxa"/>
          </w:tcPr>
          <w:p>
            <w:pPr>
              <w:pStyle w:val="0"/>
              <w:jc w:val="center"/>
            </w:pPr>
            <w:r>
              <w:rPr>
                <w:sz w:val="20"/>
              </w:rPr>
              <w:t xml:space="preserve">1.3.</w:t>
            </w:r>
          </w:p>
        </w:tc>
        <w:tc>
          <w:tcPr>
            <w:gridSpan w:val="5"/>
            <w:tcW w:w="7541" w:type="dxa"/>
          </w:tcPr>
          <w:p>
            <w:pPr>
              <w:pStyle w:val="0"/>
            </w:pPr>
            <w:r>
              <w:rPr>
                <w:sz w:val="20"/>
              </w:rPr>
              <w:t xml:space="preserve">от 0,1 до 0,5 включительно</w:t>
            </w:r>
          </w:p>
        </w:tc>
        <w:tc>
          <w:tcPr>
            <w:tcW w:w="964" w:type="dxa"/>
          </w:tcPr>
          <w:p>
            <w:pPr>
              <w:pStyle w:val="0"/>
              <w:jc w:val="center"/>
            </w:pPr>
            <w:r>
              <w:rPr>
                <w:sz w:val="20"/>
              </w:rPr>
              <w:t xml:space="preserve">10</w:t>
            </w:r>
          </w:p>
        </w:tc>
      </w:tr>
      <w:tr>
        <w:tc>
          <w:tcPr>
            <w:tcW w:w="576" w:type="dxa"/>
          </w:tcPr>
          <w:p>
            <w:pPr>
              <w:pStyle w:val="0"/>
              <w:jc w:val="center"/>
            </w:pPr>
            <w:r>
              <w:rPr>
                <w:sz w:val="20"/>
              </w:rPr>
              <w:t xml:space="preserve">1.4.</w:t>
            </w:r>
          </w:p>
        </w:tc>
        <w:tc>
          <w:tcPr>
            <w:gridSpan w:val="5"/>
            <w:tcW w:w="7541" w:type="dxa"/>
          </w:tcPr>
          <w:p>
            <w:pPr>
              <w:pStyle w:val="0"/>
            </w:pPr>
            <w:r>
              <w:rPr>
                <w:sz w:val="20"/>
              </w:rPr>
              <w:t xml:space="preserve">свыше 0,5</w:t>
            </w:r>
          </w:p>
        </w:tc>
        <w:tc>
          <w:tcPr>
            <w:tcW w:w="964" w:type="dxa"/>
          </w:tcPr>
          <w:p>
            <w:pPr>
              <w:pStyle w:val="0"/>
              <w:jc w:val="center"/>
            </w:pPr>
            <w:r>
              <w:rPr>
                <w:sz w:val="20"/>
              </w:rPr>
              <w:t xml:space="preserve">0</w:t>
            </w:r>
          </w:p>
        </w:tc>
      </w:tr>
      <w:tr>
        <w:tc>
          <w:tcPr>
            <w:tcW w:w="576" w:type="dxa"/>
          </w:tcPr>
          <w:p>
            <w:pPr>
              <w:pStyle w:val="0"/>
              <w:jc w:val="center"/>
            </w:pPr>
            <w:r>
              <w:rPr>
                <w:sz w:val="20"/>
              </w:rPr>
              <w:t xml:space="preserve">2.</w:t>
            </w:r>
          </w:p>
        </w:tc>
        <w:tc>
          <w:tcPr>
            <w:gridSpan w:val="5"/>
            <w:tcW w:w="7541" w:type="dxa"/>
          </w:tcPr>
          <w:p>
            <w:pPr>
              <w:pStyle w:val="0"/>
            </w:pPr>
            <w:r>
              <w:rPr>
                <w:sz w:val="20"/>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tc>
        <w:tc>
          <w:tcPr>
            <w:tcW w:w="964" w:type="dxa"/>
          </w:tcPr>
          <w:p>
            <w:pPr>
              <w:pStyle w:val="0"/>
            </w:pPr>
            <w:r>
              <w:rPr>
                <w:sz w:val="20"/>
              </w:rPr>
            </w:r>
          </w:p>
        </w:tc>
      </w:tr>
      <w:tr>
        <w:tc>
          <w:tcPr>
            <w:tcW w:w="576" w:type="dxa"/>
          </w:tcPr>
          <w:p>
            <w:pPr>
              <w:pStyle w:val="0"/>
              <w:jc w:val="center"/>
            </w:pPr>
            <w:r>
              <w:rPr>
                <w:sz w:val="20"/>
              </w:rPr>
              <w:t xml:space="preserve">2.1.</w:t>
            </w:r>
          </w:p>
        </w:tc>
        <w:tc>
          <w:tcPr>
            <w:tcW w:w="2981" w:type="dxa"/>
          </w:tcPr>
          <w:p>
            <w:pPr>
              <w:pStyle w:val="0"/>
            </w:pPr>
            <w:r>
              <w:rPr>
                <w:sz w:val="20"/>
              </w:rPr>
              <w:t xml:space="preserve">от 0 до 1 года включительно</w:t>
            </w:r>
          </w:p>
        </w:tc>
        <w:tc>
          <w:tcPr>
            <w:gridSpan w:val="4"/>
            <w:tcW w:w="4560" w:type="dxa"/>
          </w:tcPr>
          <w:p>
            <w:pPr>
              <w:pStyle w:val="0"/>
              <w:jc w:val="center"/>
            </w:pPr>
            <w:r>
              <w:rPr>
                <w:sz w:val="20"/>
              </w:rPr>
              <w:t xml:space="preserve">0</w:t>
            </w:r>
          </w:p>
        </w:tc>
        <w:tc>
          <w:tcPr>
            <w:tcW w:w="964" w:type="dxa"/>
          </w:tcPr>
          <w:p>
            <w:pPr>
              <w:pStyle w:val="0"/>
            </w:pPr>
            <w:r>
              <w:rPr>
                <w:sz w:val="20"/>
              </w:rPr>
            </w:r>
          </w:p>
        </w:tc>
      </w:tr>
      <w:tr>
        <w:tc>
          <w:tcPr>
            <w:tcW w:w="576" w:type="dxa"/>
          </w:tcPr>
          <w:p>
            <w:pPr>
              <w:pStyle w:val="0"/>
              <w:jc w:val="center"/>
            </w:pPr>
            <w:r>
              <w:rPr>
                <w:sz w:val="20"/>
              </w:rPr>
              <w:t xml:space="preserve">2.2.</w:t>
            </w:r>
          </w:p>
        </w:tc>
        <w:tc>
          <w:tcPr>
            <w:tcW w:w="2981" w:type="dxa"/>
          </w:tcPr>
          <w:p>
            <w:pPr>
              <w:pStyle w:val="0"/>
            </w:pPr>
            <w:r>
              <w:rPr>
                <w:sz w:val="20"/>
              </w:rPr>
              <w:t xml:space="preserve">от 1 года до 5 лет включительно</w:t>
            </w:r>
          </w:p>
        </w:tc>
        <w:tc>
          <w:tcPr>
            <w:gridSpan w:val="4"/>
            <w:tcW w:w="4560" w:type="dxa"/>
          </w:tcPr>
          <w:p>
            <w:pPr>
              <w:pStyle w:val="0"/>
              <w:jc w:val="center"/>
            </w:pPr>
            <w:r>
              <w:rPr>
                <w:sz w:val="20"/>
              </w:rPr>
              <w:t xml:space="preserve">15</w:t>
            </w:r>
          </w:p>
        </w:tc>
        <w:tc>
          <w:tcPr>
            <w:tcW w:w="964" w:type="dxa"/>
          </w:tcPr>
          <w:p>
            <w:pPr>
              <w:pStyle w:val="0"/>
            </w:pPr>
            <w:r>
              <w:rPr>
                <w:sz w:val="20"/>
              </w:rPr>
            </w:r>
          </w:p>
        </w:tc>
      </w:tr>
      <w:tr>
        <w:tc>
          <w:tcPr>
            <w:tcW w:w="576" w:type="dxa"/>
          </w:tcPr>
          <w:p>
            <w:pPr>
              <w:pStyle w:val="0"/>
              <w:jc w:val="center"/>
            </w:pPr>
            <w:r>
              <w:rPr>
                <w:sz w:val="20"/>
              </w:rPr>
              <w:t xml:space="preserve">2.3.</w:t>
            </w:r>
          </w:p>
        </w:tc>
        <w:tc>
          <w:tcPr>
            <w:tcW w:w="2981" w:type="dxa"/>
          </w:tcPr>
          <w:p>
            <w:pPr>
              <w:pStyle w:val="0"/>
            </w:pPr>
            <w:r>
              <w:rPr>
                <w:sz w:val="20"/>
              </w:rPr>
              <w:t xml:space="preserve">от 5 лет до 10 лет включительно</w:t>
            </w:r>
          </w:p>
        </w:tc>
        <w:tc>
          <w:tcPr>
            <w:gridSpan w:val="4"/>
            <w:tcW w:w="4560" w:type="dxa"/>
          </w:tcPr>
          <w:p>
            <w:pPr>
              <w:pStyle w:val="0"/>
              <w:jc w:val="center"/>
            </w:pPr>
            <w:r>
              <w:rPr>
                <w:sz w:val="20"/>
              </w:rPr>
              <w:t xml:space="preserve">30</w:t>
            </w:r>
          </w:p>
        </w:tc>
        <w:tc>
          <w:tcPr>
            <w:tcW w:w="964" w:type="dxa"/>
          </w:tcPr>
          <w:p>
            <w:pPr>
              <w:pStyle w:val="0"/>
            </w:pPr>
            <w:r>
              <w:rPr>
                <w:sz w:val="20"/>
              </w:rPr>
            </w:r>
          </w:p>
        </w:tc>
      </w:tr>
      <w:tr>
        <w:tblPrEx>
          <w:tblBorders>
            <w:insideH w:val="nil"/>
          </w:tblBorders>
        </w:tblPrEx>
        <w:tc>
          <w:tcPr>
            <w:tcW w:w="576" w:type="dxa"/>
            <w:tcBorders>
              <w:bottom w:val="nil"/>
            </w:tcBorders>
          </w:tcPr>
          <w:p>
            <w:pPr>
              <w:pStyle w:val="0"/>
              <w:jc w:val="center"/>
            </w:pPr>
            <w:r>
              <w:rPr>
                <w:sz w:val="20"/>
              </w:rPr>
              <w:t xml:space="preserve">2.4.</w:t>
            </w:r>
          </w:p>
        </w:tc>
        <w:tc>
          <w:tcPr>
            <w:tcW w:w="2981" w:type="dxa"/>
            <w:tcBorders>
              <w:bottom w:val="nil"/>
            </w:tcBorders>
          </w:tcPr>
          <w:p>
            <w:pPr>
              <w:pStyle w:val="0"/>
            </w:pPr>
            <w:r>
              <w:rPr>
                <w:sz w:val="20"/>
              </w:rPr>
              <w:t xml:space="preserve">свыше 10 лет</w:t>
            </w:r>
          </w:p>
        </w:tc>
        <w:tc>
          <w:tcPr>
            <w:gridSpan w:val="4"/>
            <w:tcW w:w="4560" w:type="dxa"/>
            <w:tcBorders>
              <w:bottom w:val="nil"/>
            </w:tcBorders>
          </w:tcPr>
          <w:p>
            <w:pPr>
              <w:pStyle w:val="0"/>
              <w:jc w:val="center"/>
            </w:pPr>
            <w:r>
              <w:rPr>
                <w:sz w:val="20"/>
              </w:rPr>
              <w:t xml:space="preserve">50</w:t>
            </w:r>
          </w:p>
        </w:tc>
        <w:tc>
          <w:tcPr>
            <w:tcW w:w="964" w:type="dxa"/>
            <w:tcBorders>
              <w:bottom w:val="nil"/>
            </w:tcBorders>
          </w:tcPr>
          <w:p>
            <w:pPr>
              <w:pStyle w:val="0"/>
            </w:pPr>
            <w:r>
              <w:rPr>
                <w:sz w:val="20"/>
              </w:rPr>
            </w:r>
          </w:p>
        </w:tc>
      </w:tr>
      <w:tr>
        <w:tblPrEx>
          <w:tblBorders>
            <w:insideH w:val="nil"/>
          </w:tblBorders>
        </w:tblPrEx>
        <w:tc>
          <w:tcPr>
            <w:gridSpan w:val="7"/>
            <w:tcW w:w="9081" w:type="dxa"/>
            <w:tcBorders>
              <w:top w:val="nil"/>
            </w:tcBorders>
          </w:tcPr>
          <w:p>
            <w:pPr>
              <w:pStyle w:val="0"/>
              <w:jc w:val="both"/>
            </w:pPr>
            <w:r>
              <w:rPr>
                <w:sz w:val="20"/>
              </w:rPr>
              <w:t xml:space="preserve">(п. 2 в ред. </w:t>
            </w:r>
            <w:hyperlink w:history="0" r:id="rId15" w:tooltip="Постановление Минтранса Рязанской области от 23.01.2025 N 2 &quot;О внесении изменений в постановление министерства транспорта и автомобильных дорог Рязанской области от 20 июля 2016 г. N 18 &quot;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quot; (в редакции постановлений Минтранса Рязанской области от 05.06.2019 N 11, от 11.06.2024 N 11)&quot; {КонсультантПлюс}">
              <w:r>
                <w:rPr>
                  <w:sz w:val="20"/>
                  <w:color w:val="0000ff"/>
                </w:rPr>
                <w:t xml:space="preserve">Постановления</w:t>
              </w:r>
            </w:hyperlink>
            <w:r>
              <w:rPr>
                <w:sz w:val="20"/>
              </w:rPr>
              <w:t xml:space="preserve"> Минтранса Рязанской области от 23.01.2025 N 2)</w:t>
            </w:r>
          </w:p>
        </w:tc>
      </w:tr>
      <w:tr>
        <w:tc>
          <w:tcPr>
            <w:tcW w:w="576" w:type="dxa"/>
            <w:vMerge w:val="restart"/>
          </w:tcPr>
          <w:p>
            <w:pPr>
              <w:pStyle w:val="0"/>
              <w:jc w:val="center"/>
            </w:pPr>
            <w:r>
              <w:rPr>
                <w:sz w:val="20"/>
              </w:rPr>
              <w:t xml:space="preserve">3</w:t>
            </w:r>
          </w:p>
        </w:tc>
        <w:tc>
          <w:tcPr>
            <w:tcW w:w="2981" w:type="dxa"/>
            <w:vMerge w:val="restart"/>
          </w:tcPr>
          <w:p>
            <w:pPr>
              <w:pStyle w:val="0"/>
            </w:pPr>
            <w:r>
              <w:rPr>
                <w:sz w:val="20"/>
              </w:rPr>
              <w:t xml:space="preserve">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tc>
        <w:tc>
          <w:tcPr>
            <w:gridSpan w:val="5"/>
            <w:tcW w:w="5524" w:type="dxa"/>
          </w:tcPr>
          <w:p>
            <w:pPr>
              <w:pStyle w:val="0"/>
            </w:pPr>
            <w:r>
              <w:rPr>
                <w:sz w:val="20"/>
              </w:rPr>
              <w:t xml:space="preserve">Количество баллов по соответствующей характеристике в зависимости от доли транспортных средств с соответствующей характеристикой от максимального количества транспортных средств соответствующего класса</w:t>
            </w:r>
          </w:p>
        </w:tc>
      </w:tr>
      <w:tr>
        <w:tc>
          <w:tcPr>
            <w:vMerge w:val="continue"/>
          </w:tcPr>
          <w:p/>
        </w:tc>
        <w:tc>
          <w:tcPr>
            <w:vMerge w:val="continue"/>
          </w:tcPr>
          <w:p/>
        </w:tc>
        <w:tc>
          <w:tcPr>
            <w:tcW w:w="1332" w:type="dxa"/>
          </w:tcPr>
          <w:p>
            <w:pPr>
              <w:pStyle w:val="0"/>
              <w:jc w:val="center"/>
            </w:pPr>
            <w:r>
              <w:rPr>
                <w:sz w:val="20"/>
              </w:rPr>
              <w:t xml:space="preserve">до 20%</w:t>
            </w:r>
          </w:p>
        </w:tc>
        <w:tc>
          <w:tcPr>
            <w:tcW w:w="1503" w:type="dxa"/>
          </w:tcPr>
          <w:p>
            <w:pPr>
              <w:pStyle w:val="0"/>
              <w:jc w:val="center"/>
            </w:pPr>
            <w:r>
              <w:rPr>
                <w:sz w:val="20"/>
              </w:rPr>
              <w:t xml:space="preserve">от 20% до 50%</w:t>
            </w:r>
          </w:p>
        </w:tc>
        <w:tc>
          <w:tcPr>
            <w:tcW w:w="1385" w:type="dxa"/>
          </w:tcPr>
          <w:p>
            <w:pPr>
              <w:pStyle w:val="0"/>
              <w:jc w:val="center"/>
            </w:pPr>
            <w:r>
              <w:rPr>
                <w:sz w:val="20"/>
              </w:rPr>
              <w:t xml:space="preserve">от 50% до 75%</w:t>
            </w:r>
          </w:p>
        </w:tc>
        <w:tc>
          <w:tcPr>
            <w:gridSpan w:val="2"/>
            <w:tcW w:w="1304" w:type="dxa"/>
          </w:tcPr>
          <w:p>
            <w:pPr>
              <w:pStyle w:val="0"/>
              <w:jc w:val="center"/>
            </w:pPr>
            <w:r>
              <w:rPr>
                <w:sz w:val="20"/>
              </w:rPr>
              <w:t xml:space="preserve">100%</w:t>
            </w:r>
          </w:p>
        </w:tc>
      </w:tr>
      <w:tr>
        <w:tc>
          <w:tcPr>
            <w:tcW w:w="576" w:type="dxa"/>
          </w:tcPr>
          <w:p>
            <w:pPr>
              <w:pStyle w:val="0"/>
              <w:jc w:val="center"/>
            </w:pPr>
            <w:r>
              <w:rPr>
                <w:sz w:val="20"/>
              </w:rPr>
              <w:t xml:space="preserve">3.1</w:t>
            </w:r>
          </w:p>
        </w:tc>
        <w:tc>
          <w:tcPr>
            <w:tcW w:w="2981" w:type="dxa"/>
          </w:tcPr>
          <w:p>
            <w:pPr>
              <w:pStyle w:val="0"/>
            </w:pPr>
            <w:r>
              <w:rPr>
                <w:sz w:val="20"/>
              </w:rPr>
              <w:t xml:space="preserve">наличие кондиционера</w:t>
            </w:r>
          </w:p>
        </w:tc>
        <w:tc>
          <w:tcPr>
            <w:tcW w:w="1332" w:type="dxa"/>
          </w:tcPr>
          <w:p>
            <w:pPr>
              <w:pStyle w:val="0"/>
              <w:jc w:val="center"/>
            </w:pPr>
            <w:r>
              <w:rPr>
                <w:sz w:val="20"/>
              </w:rPr>
              <w:t xml:space="preserve">3</w:t>
            </w:r>
          </w:p>
        </w:tc>
        <w:tc>
          <w:tcPr>
            <w:tcW w:w="1503" w:type="dxa"/>
          </w:tcPr>
          <w:p>
            <w:pPr>
              <w:pStyle w:val="0"/>
              <w:jc w:val="center"/>
            </w:pPr>
            <w:r>
              <w:rPr>
                <w:sz w:val="20"/>
              </w:rPr>
              <w:t xml:space="preserve">6</w:t>
            </w:r>
          </w:p>
        </w:tc>
        <w:tc>
          <w:tcPr>
            <w:tcW w:w="1385" w:type="dxa"/>
          </w:tcPr>
          <w:p>
            <w:pPr>
              <w:pStyle w:val="0"/>
              <w:jc w:val="center"/>
            </w:pPr>
            <w:r>
              <w:rPr>
                <w:sz w:val="20"/>
              </w:rPr>
              <w:t xml:space="preserve">8</w:t>
            </w:r>
          </w:p>
        </w:tc>
        <w:tc>
          <w:tcPr>
            <w:gridSpan w:val="2"/>
            <w:tcW w:w="1304" w:type="dxa"/>
          </w:tcPr>
          <w:p>
            <w:pPr>
              <w:pStyle w:val="0"/>
              <w:jc w:val="center"/>
            </w:pPr>
            <w:r>
              <w:rPr>
                <w:sz w:val="20"/>
              </w:rPr>
              <w:t xml:space="preserve">10</w:t>
            </w:r>
          </w:p>
        </w:tc>
      </w:tr>
      <w:tr>
        <w:tc>
          <w:tcPr>
            <w:tcW w:w="576" w:type="dxa"/>
          </w:tcPr>
          <w:p>
            <w:pPr>
              <w:pStyle w:val="0"/>
              <w:jc w:val="center"/>
            </w:pPr>
            <w:r>
              <w:rPr>
                <w:sz w:val="20"/>
              </w:rPr>
              <w:t xml:space="preserve">3.2</w:t>
            </w:r>
          </w:p>
        </w:tc>
        <w:tc>
          <w:tcPr>
            <w:tcW w:w="2981" w:type="dxa"/>
          </w:tcPr>
          <w:p>
            <w:pPr>
              <w:pStyle w:val="0"/>
            </w:pPr>
            <w:r>
              <w:rPr>
                <w:sz w:val="20"/>
              </w:rPr>
              <w:t xml:space="preserve">наличие низкого пола или специального сертифицированного оборудования для осуществления перевозок пассажиров из числа инвалидов</w:t>
            </w:r>
          </w:p>
        </w:tc>
        <w:tc>
          <w:tcPr>
            <w:tcW w:w="1332" w:type="dxa"/>
          </w:tcPr>
          <w:p>
            <w:pPr>
              <w:pStyle w:val="0"/>
              <w:jc w:val="center"/>
            </w:pPr>
            <w:r>
              <w:rPr>
                <w:sz w:val="20"/>
              </w:rPr>
              <w:t xml:space="preserve">3</w:t>
            </w:r>
          </w:p>
        </w:tc>
        <w:tc>
          <w:tcPr>
            <w:tcW w:w="1503" w:type="dxa"/>
          </w:tcPr>
          <w:p>
            <w:pPr>
              <w:pStyle w:val="0"/>
              <w:jc w:val="center"/>
            </w:pPr>
            <w:r>
              <w:rPr>
                <w:sz w:val="20"/>
              </w:rPr>
              <w:t xml:space="preserve">6</w:t>
            </w:r>
          </w:p>
        </w:tc>
        <w:tc>
          <w:tcPr>
            <w:tcW w:w="1385" w:type="dxa"/>
          </w:tcPr>
          <w:p>
            <w:pPr>
              <w:pStyle w:val="0"/>
              <w:jc w:val="center"/>
            </w:pPr>
            <w:r>
              <w:rPr>
                <w:sz w:val="20"/>
              </w:rPr>
              <w:t xml:space="preserve">8</w:t>
            </w:r>
          </w:p>
        </w:tc>
        <w:tc>
          <w:tcPr>
            <w:gridSpan w:val="2"/>
            <w:tcW w:w="1304" w:type="dxa"/>
          </w:tcPr>
          <w:p>
            <w:pPr>
              <w:pStyle w:val="0"/>
              <w:jc w:val="center"/>
            </w:pPr>
            <w:r>
              <w:rPr>
                <w:sz w:val="20"/>
              </w:rPr>
              <w:t xml:space="preserve">10</w:t>
            </w:r>
          </w:p>
        </w:tc>
      </w:tr>
      <w:tr>
        <w:tc>
          <w:tcPr>
            <w:tcW w:w="576" w:type="dxa"/>
          </w:tcPr>
          <w:p>
            <w:pPr>
              <w:pStyle w:val="0"/>
              <w:jc w:val="center"/>
            </w:pPr>
            <w:r>
              <w:rPr>
                <w:sz w:val="20"/>
              </w:rPr>
              <w:t xml:space="preserve">3.3</w:t>
            </w:r>
          </w:p>
        </w:tc>
        <w:tc>
          <w:tcPr>
            <w:tcW w:w="2981" w:type="dxa"/>
          </w:tcPr>
          <w:p>
            <w:pPr>
              <w:pStyle w:val="0"/>
            </w:pPr>
            <w:r>
              <w:rPr>
                <w:sz w:val="20"/>
              </w:rPr>
              <w:t xml:space="preserve">использование природного газа в качестве моторного топлива или электродвигателей</w:t>
            </w:r>
          </w:p>
        </w:tc>
        <w:tc>
          <w:tcPr>
            <w:tcW w:w="1332" w:type="dxa"/>
          </w:tcPr>
          <w:p>
            <w:pPr>
              <w:pStyle w:val="0"/>
              <w:jc w:val="center"/>
            </w:pPr>
            <w:r>
              <w:rPr>
                <w:sz w:val="20"/>
              </w:rPr>
              <w:t xml:space="preserve">2</w:t>
            </w:r>
          </w:p>
        </w:tc>
        <w:tc>
          <w:tcPr>
            <w:tcW w:w="1503" w:type="dxa"/>
          </w:tcPr>
          <w:p>
            <w:pPr>
              <w:pStyle w:val="0"/>
              <w:jc w:val="center"/>
            </w:pPr>
            <w:r>
              <w:rPr>
                <w:sz w:val="20"/>
              </w:rPr>
              <w:t xml:space="preserve">5</w:t>
            </w:r>
          </w:p>
        </w:tc>
        <w:tc>
          <w:tcPr>
            <w:tcW w:w="1385" w:type="dxa"/>
          </w:tcPr>
          <w:p>
            <w:pPr>
              <w:pStyle w:val="0"/>
              <w:jc w:val="center"/>
            </w:pPr>
            <w:r>
              <w:rPr>
                <w:sz w:val="20"/>
              </w:rPr>
              <w:t xml:space="preserve">9</w:t>
            </w:r>
          </w:p>
        </w:tc>
        <w:tc>
          <w:tcPr>
            <w:gridSpan w:val="2"/>
            <w:tcW w:w="1304" w:type="dxa"/>
          </w:tcPr>
          <w:p>
            <w:pPr>
              <w:pStyle w:val="0"/>
              <w:jc w:val="center"/>
            </w:pPr>
            <w:r>
              <w:rPr>
                <w:sz w:val="20"/>
              </w:rPr>
              <w:t xml:space="preserve">12</w:t>
            </w:r>
          </w:p>
        </w:tc>
      </w:tr>
      <w:tr>
        <w:tblPrEx>
          <w:tblBorders>
            <w:insideH w:val="nil"/>
          </w:tblBorders>
        </w:tblPrEx>
        <w:tc>
          <w:tcPr>
            <w:tcW w:w="576" w:type="dxa"/>
            <w:tcBorders>
              <w:bottom w:val="nil"/>
            </w:tcBorders>
          </w:tcPr>
          <w:p>
            <w:pPr>
              <w:pStyle w:val="0"/>
              <w:jc w:val="center"/>
            </w:pPr>
            <w:r>
              <w:rPr>
                <w:sz w:val="20"/>
              </w:rPr>
              <w:t xml:space="preserve">3.4</w:t>
            </w:r>
          </w:p>
        </w:tc>
        <w:tc>
          <w:tcPr>
            <w:tcW w:w="2981" w:type="dxa"/>
            <w:tcBorders>
              <w:bottom w:val="nil"/>
            </w:tcBorders>
          </w:tcPr>
          <w:p>
            <w:pPr>
              <w:pStyle w:val="0"/>
            </w:pPr>
            <w:r>
              <w:rPr>
                <w:sz w:val="20"/>
              </w:rPr>
              <w:t xml:space="preserve">наличие безналичной системы оплаты проезда</w:t>
            </w:r>
          </w:p>
        </w:tc>
        <w:tc>
          <w:tcPr>
            <w:tcW w:w="1332" w:type="dxa"/>
            <w:tcBorders>
              <w:bottom w:val="nil"/>
            </w:tcBorders>
          </w:tcPr>
          <w:p>
            <w:pPr>
              <w:pStyle w:val="0"/>
              <w:jc w:val="center"/>
            </w:pPr>
            <w:r>
              <w:rPr>
                <w:sz w:val="20"/>
              </w:rPr>
              <w:t xml:space="preserve">2</w:t>
            </w:r>
          </w:p>
        </w:tc>
        <w:tc>
          <w:tcPr>
            <w:tcW w:w="1503" w:type="dxa"/>
            <w:tcBorders>
              <w:bottom w:val="nil"/>
            </w:tcBorders>
          </w:tcPr>
          <w:p>
            <w:pPr>
              <w:pStyle w:val="0"/>
              <w:jc w:val="center"/>
            </w:pPr>
            <w:r>
              <w:rPr>
                <w:sz w:val="20"/>
              </w:rPr>
              <w:t xml:space="preserve">5</w:t>
            </w:r>
          </w:p>
        </w:tc>
        <w:tc>
          <w:tcPr>
            <w:tcW w:w="1385" w:type="dxa"/>
            <w:tcBorders>
              <w:bottom w:val="nil"/>
            </w:tcBorders>
          </w:tcPr>
          <w:p>
            <w:pPr>
              <w:pStyle w:val="0"/>
              <w:jc w:val="center"/>
            </w:pPr>
            <w:r>
              <w:rPr>
                <w:sz w:val="20"/>
              </w:rPr>
              <w:t xml:space="preserve">9</w:t>
            </w:r>
          </w:p>
        </w:tc>
        <w:tc>
          <w:tcPr>
            <w:gridSpan w:val="2"/>
            <w:tcW w:w="1304" w:type="dxa"/>
            <w:tcBorders>
              <w:bottom w:val="nil"/>
            </w:tcBorders>
          </w:tcPr>
          <w:p>
            <w:pPr>
              <w:pStyle w:val="0"/>
              <w:jc w:val="center"/>
            </w:pPr>
            <w:r>
              <w:rPr>
                <w:sz w:val="20"/>
              </w:rPr>
              <w:t xml:space="preserve">12</w:t>
            </w:r>
          </w:p>
        </w:tc>
      </w:tr>
      <w:tr>
        <w:tblPrEx>
          <w:tblBorders>
            <w:insideH w:val="nil"/>
          </w:tblBorders>
        </w:tblPrEx>
        <w:tc>
          <w:tcPr>
            <w:gridSpan w:val="7"/>
            <w:tcW w:w="9081" w:type="dxa"/>
            <w:tcBorders>
              <w:top w:val="nil"/>
            </w:tcBorders>
          </w:tcPr>
          <w:p>
            <w:pPr>
              <w:pStyle w:val="0"/>
              <w:jc w:val="both"/>
            </w:pPr>
            <w:r>
              <w:rPr>
                <w:sz w:val="20"/>
              </w:rPr>
              <w:t xml:space="preserve">(п. 3 в ред. </w:t>
            </w:r>
            <w:hyperlink w:history="0" r:id="rId16" w:tooltip="Постановление Минтранса Рязанской области от 23.01.2025 N 2 &quot;О внесении изменений в постановление министерства транспорта и автомобильных дорог Рязанской области от 20 июля 2016 г. N 18 &quot;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quot; (в редакции постановлений Минтранса Рязанской области от 05.06.2019 N 11, от 11.06.2024 N 11)&quot; {КонсультантПлюс}">
              <w:r>
                <w:rPr>
                  <w:sz w:val="20"/>
                  <w:color w:val="0000ff"/>
                </w:rPr>
                <w:t xml:space="preserve">Постановления</w:t>
              </w:r>
            </w:hyperlink>
            <w:r>
              <w:rPr>
                <w:sz w:val="20"/>
              </w:rPr>
              <w:t xml:space="preserve"> Минтранса Рязанской области от 23.01.2025 N 2)</w:t>
            </w:r>
          </w:p>
        </w:tc>
      </w:tr>
      <w:tr>
        <w:tc>
          <w:tcPr>
            <w:tcW w:w="576" w:type="dxa"/>
            <w:vMerge w:val="restart"/>
          </w:tcPr>
          <w:p>
            <w:pPr>
              <w:pStyle w:val="0"/>
              <w:jc w:val="center"/>
            </w:pPr>
            <w:r>
              <w:rPr>
                <w:sz w:val="20"/>
              </w:rPr>
              <w:t xml:space="preserve">4.</w:t>
            </w:r>
          </w:p>
        </w:tc>
        <w:tc>
          <w:tcPr>
            <w:gridSpan w:val="6"/>
            <w:tcW w:w="8505" w:type="dxa"/>
          </w:tcPr>
          <w:p>
            <w:pPr>
              <w:pStyle w:val="0"/>
            </w:pPr>
            <w:r>
              <w:rPr>
                <w:sz w:val="20"/>
              </w:rPr>
              <w:t xml:space="preserve">Максимальный срок эксплуатации транспортных средств, предлагаемый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tc>
          <w:tcPr>
            <w:vMerge w:val="continue"/>
          </w:tcPr>
          <w:p/>
        </w:tc>
        <w:tc>
          <w:tcPr>
            <w:tcW w:w="2981" w:type="dxa"/>
          </w:tcPr>
          <w:p>
            <w:pPr>
              <w:pStyle w:val="0"/>
            </w:pPr>
            <w:r>
              <w:rPr>
                <w:sz w:val="20"/>
              </w:rPr>
              <w:t xml:space="preserve">класс транспортного средства </w:t>
            </w:r>
            <w:hyperlink w:history="0" w:anchor="P138" w:tooltip="&lt;**&gt; Класс транспортного средства:">
              <w:r>
                <w:rPr>
                  <w:sz w:val="20"/>
                  <w:color w:val="0000ff"/>
                </w:rPr>
                <w:t xml:space="preserve">&lt;**&gt;</w:t>
              </w:r>
            </w:hyperlink>
          </w:p>
        </w:tc>
        <w:tc>
          <w:tcPr>
            <w:gridSpan w:val="4"/>
            <w:tcW w:w="4560" w:type="dxa"/>
          </w:tcPr>
          <w:p>
            <w:pPr>
              <w:pStyle w:val="0"/>
            </w:pPr>
            <w:r>
              <w:rPr>
                <w:sz w:val="20"/>
              </w:rPr>
              <w:t xml:space="preserve">максимальный срок эксплуатации транспортного средства</w:t>
            </w:r>
          </w:p>
        </w:tc>
        <w:tc>
          <w:tcPr>
            <w:tcW w:w="964" w:type="dxa"/>
          </w:tcPr>
          <w:p>
            <w:pPr>
              <w:pStyle w:val="0"/>
            </w:pPr>
            <w:r>
              <w:rPr>
                <w:sz w:val="20"/>
              </w:rPr>
            </w:r>
          </w:p>
        </w:tc>
      </w:tr>
      <w:tr>
        <w:tc>
          <w:tcPr>
            <w:tcW w:w="576" w:type="dxa"/>
            <w:vMerge w:val="restart"/>
          </w:tcPr>
          <w:p>
            <w:pPr>
              <w:pStyle w:val="0"/>
              <w:jc w:val="center"/>
            </w:pPr>
            <w:r>
              <w:rPr>
                <w:sz w:val="20"/>
              </w:rPr>
              <w:t xml:space="preserve">4.1.</w:t>
            </w:r>
          </w:p>
        </w:tc>
        <w:tc>
          <w:tcPr>
            <w:tcW w:w="2981" w:type="dxa"/>
          </w:tcPr>
          <w:p>
            <w:pPr>
              <w:pStyle w:val="0"/>
              <w:jc w:val="both"/>
            </w:pPr>
            <w:r>
              <w:rPr>
                <w:sz w:val="20"/>
              </w:rPr>
              <w:t xml:space="preserve">М, С</w:t>
            </w:r>
          </w:p>
        </w:tc>
        <w:tc>
          <w:tcPr>
            <w:gridSpan w:val="4"/>
            <w:tcW w:w="4560" w:type="dxa"/>
          </w:tcPr>
          <w:p>
            <w:pPr>
              <w:pStyle w:val="0"/>
            </w:pPr>
            <w:r>
              <w:rPr>
                <w:sz w:val="20"/>
              </w:rPr>
              <w:t xml:space="preserve">до 4 лет включительно</w:t>
            </w:r>
          </w:p>
        </w:tc>
        <w:tc>
          <w:tcPr>
            <w:tcW w:w="964" w:type="dxa"/>
            <w:vMerge w:val="restart"/>
          </w:tcPr>
          <w:p>
            <w:pPr>
              <w:pStyle w:val="0"/>
              <w:jc w:val="center"/>
            </w:pPr>
            <w:r>
              <w:rPr>
                <w:sz w:val="20"/>
              </w:rPr>
              <w:t xml:space="preserve">30</w:t>
            </w:r>
          </w:p>
        </w:tc>
      </w:tr>
      <w:tr>
        <w:tc>
          <w:tcPr>
            <w:vMerge w:val="continue"/>
          </w:tcPr>
          <w:p/>
        </w:tc>
        <w:tc>
          <w:tcPr>
            <w:tcW w:w="2981" w:type="dxa"/>
          </w:tcPr>
          <w:p>
            <w:pPr>
              <w:pStyle w:val="0"/>
              <w:jc w:val="both"/>
            </w:pPr>
            <w:r>
              <w:rPr>
                <w:sz w:val="20"/>
              </w:rPr>
              <w:t xml:space="preserve">Б</w:t>
            </w:r>
          </w:p>
        </w:tc>
        <w:tc>
          <w:tcPr>
            <w:gridSpan w:val="4"/>
            <w:tcW w:w="4560" w:type="dxa"/>
          </w:tcPr>
          <w:p>
            <w:pPr>
              <w:pStyle w:val="0"/>
            </w:pPr>
            <w:r>
              <w:rPr>
                <w:sz w:val="20"/>
              </w:rPr>
              <w:t xml:space="preserve">до 5 лет включительно</w:t>
            </w:r>
          </w:p>
        </w:tc>
        <w:tc>
          <w:tcPr>
            <w:vMerge w:val="continue"/>
          </w:tcPr>
          <w:p/>
        </w:tc>
      </w:tr>
      <w:tr>
        <w:tc>
          <w:tcPr>
            <w:tcW w:w="576" w:type="dxa"/>
            <w:vMerge w:val="restart"/>
          </w:tcPr>
          <w:p>
            <w:pPr>
              <w:pStyle w:val="0"/>
              <w:jc w:val="center"/>
            </w:pPr>
            <w:r>
              <w:rPr>
                <w:sz w:val="20"/>
              </w:rPr>
              <w:t xml:space="preserve">4.2.</w:t>
            </w:r>
          </w:p>
        </w:tc>
        <w:tc>
          <w:tcPr>
            <w:tcW w:w="2981" w:type="dxa"/>
          </w:tcPr>
          <w:p>
            <w:pPr>
              <w:pStyle w:val="0"/>
              <w:jc w:val="both"/>
            </w:pPr>
            <w:r>
              <w:rPr>
                <w:sz w:val="20"/>
              </w:rPr>
              <w:t xml:space="preserve">М, С</w:t>
            </w:r>
          </w:p>
        </w:tc>
        <w:tc>
          <w:tcPr>
            <w:gridSpan w:val="4"/>
            <w:tcW w:w="4560" w:type="dxa"/>
          </w:tcPr>
          <w:p>
            <w:pPr>
              <w:pStyle w:val="0"/>
            </w:pPr>
            <w:r>
              <w:rPr>
                <w:sz w:val="20"/>
              </w:rPr>
              <w:t xml:space="preserve">от 4 до 7 лет включительно</w:t>
            </w:r>
          </w:p>
        </w:tc>
        <w:tc>
          <w:tcPr>
            <w:tcW w:w="964" w:type="dxa"/>
            <w:vMerge w:val="restart"/>
          </w:tcPr>
          <w:p>
            <w:pPr>
              <w:pStyle w:val="0"/>
              <w:jc w:val="center"/>
            </w:pPr>
            <w:r>
              <w:rPr>
                <w:sz w:val="20"/>
              </w:rPr>
              <w:t xml:space="preserve">15</w:t>
            </w:r>
          </w:p>
        </w:tc>
      </w:tr>
      <w:tr>
        <w:tc>
          <w:tcPr>
            <w:vMerge w:val="continue"/>
          </w:tcPr>
          <w:p/>
        </w:tc>
        <w:tc>
          <w:tcPr>
            <w:tcW w:w="2981" w:type="dxa"/>
          </w:tcPr>
          <w:p>
            <w:pPr>
              <w:pStyle w:val="0"/>
              <w:jc w:val="both"/>
            </w:pPr>
            <w:r>
              <w:rPr>
                <w:sz w:val="20"/>
              </w:rPr>
              <w:t xml:space="preserve">Б</w:t>
            </w:r>
          </w:p>
        </w:tc>
        <w:tc>
          <w:tcPr>
            <w:gridSpan w:val="4"/>
            <w:tcW w:w="4560" w:type="dxa"/>
          </w:tcPr>
          <w:p>
            <w:pPr>
              <w:pStyle w:val="0"/>
            </w:pPr>
            <w:r>
              <w:rPr>
                <w:sz w:val="20"/>
              </w:rPr>
              <w:t xml:space="preserve">от 5 до 10 лет включительно</w:t>
            </w:r>
          </w:p>
        </w:tc>
        <w:tc>
          <w:tcPr>
            <w:vMerge w:val="continue"/>
          </w:tcPr>
          <w:p/>
        </w:tc>
      </w:tr>
      <w:tr>
        <w:tc>
          <w:tcPr>
            <w:tcW w:w="576" w:type="dxa"/>
            <w:vMerge w:val="restart"/>
          </w:tcPr>
          <w:p>
            <w:pPr>
              <w:pStyle w:val="0"/>
              <w:jc w:val="center"/>
            </w:pPr>
            <w:r>
              <w:rPr>
                <w:sz w:val="20"/>
              </w:rPr>
              <w:t xml:space="preserve">4.3.</w:t>
            </w:r>
          </w:p>
        </w:tc>
        <w:tc>
          <w:tcPr>
            <w:tcW w:w="2981" w:type="dxa"/>
          </w:tcPr>
          <w:p>
            <w:pPr>
              <w:pStyle w:val="0"/>
              <w:jc w:val="both"/>
            </w:pPr>
            <w:r>
              <w:rPr>
                <w:sz w:val="20"/>
              </w:rPr>
              <w:t xml:space="preserve">М, С</w:t>
            </w:r>
          </w:p>
        </w:tc>
        <w:tc>
          <w:tcPr>
            <w:gridSpan w:val="4"/>
            <w:tcW w:w="4560" w:type="dxa"/>
          </w:tcPr>
          <w:p>
            <w:pPr>
              <w:pStyle w:val="0"/>
            </w:pPr>
            <w:r>
              <w:rPr>
                <w:sz w:val="20"/>
              </w:rPr>
              <w:t xml:space="preserve">свыше 7 лет</w:t>
            </w:r>
          </w:p>
        </w:tc>
        <w:tc>
          <w:tcPr>
            <w:tcW w:w="964" w:type="dxa"/>
            <w:vMerge w:val="restart"/>
          </w:tcPr>
          <w:p>
            <w:pPr>
              <w:pStyle w:val="0"/>
              <w:jc w:val="center"/>
            </w:pPr>
            <w:r>
              <w:rPr>
                <w:sz w:val="20"/>
              </w:rPr>
              <w:t xml:space="preserve">0</w:t>
            </w:r>
          </w:p>
        </w:tc>
      </w:tr>
      <w:tr>
        <w:tc>
          <w:tcPr>
            <w:vMerge w:val="continue"/>
          </w:tcPr>
          <w:p/>
        </w:tc>
        <w:tc>
          <w:tcPr>
            <w:tcW w:w="2981" w:type="dxa"/>
          </w:tcPr>
          <w:p>
            <w:pPr>
              <w:pStyle w:val="0"/>
              <w:jc w:val="both"/>
            </w:pPr>
            <w:r>
              <w:rPr>
                <w:sz w:val="20"/>
              </w:rPr>
              <w:t xml:space="preserve">Б</w:t>
            </w:r>
          </w:p>
        </w:tc>
        <w:tc>
          <w:tcPr>
            <w:gridSpan w:val="4"/>
            <w:tcW w:w="4560" w:type="dxa"/>
          </w:tcPr>
          <w:p>
            <w:pPr>
              <w:pStyle w:val="0"/>
            </w:pPr>
            <w:r>
              <w:rPr>
                <w:sz w:val="20"/>
              </w:rPr>
              <w:t xml:space="preserve">свыше 10 лет</w:t>
            </w:r>
          </w:p>
        </w:tc>
        <w:tc>
          <w:tcPr>
            <w:vMerge w:val="continue"/>
          </w:tcPr>
          <w:p/>
        </w:tc>
      </w:tr>
    </w:tbl>
    <w:p>
      <w:pPr>
        <w:pStyle w:val="0"/>
        <w:jc w:val="both"/>
      </w:pPr>
      <w:r>
        <w:rPr>
          <w:sz w:val="20"/>
        </w:rPr>
      </w:r>
    </w:p>
    <w:p>
      <w:pPr>
        <w:pStyle w:val="0"/>
        <w:ind w:firstLine="540"/>
        <w:jc w:val="both"/>
      </w:pPr>
      <w:r>
        <w:rPr>
          <w:sz w:val="20"/>
        </w:rPr>
        <w:t xml:space="preserve">Для участников договора простого товарищества подсчет баллов проводится путем оценки каждого участника договора и выведения среднего балла для всех участников договора простого товарищества.</w:t>
      </w:r>
    </w:p>
    <w:p>
      <w:pPr>
        <w:pStyle w:val="0"/>
        <w:spacing w:before="200" w:line-rule="auto"/>
        <w:ind w:firstLine="540"/>
        <w:jc w:val="both"/>
      </w:pPr>
      <w:r>
        <w:rPr>
          <w:sz w:val="20"/>
        </w:rPr>
        <w:t xml:space="preserve">--------------------------------</w:t>
      </w:r>
    </w:p>
    <w:bookmarkStart w:id="137" w:name="P137"/>
    <w:bookmarkEnd w:id="137"/>
    <w:p>
      <w:pPr>
        <w:pStyle w:val="0"/>
        <w:spacing w:before="200" w:line-rule="auto"/>
        <w:ind w:firstLine="540"/>
        <w:jc w:val="both"/>
      </w:pPr>
      <w:r>
        <w:rPr>
          <w:sz w:val="20"/>
        </w:rPr>
        <w:t xml:space="preserve">&lt;*&gt; по показателю 1 для претендентов, не осуществлявших деятельность по регулярным перевозкам пассажиров в течение двенадцати месяцев, предшествующих дате размещения извещения о проведении открытого конкурса, количество баллов принимается равным 0 (нулю).</w:t>
      </w:r>
    </w:p>
    <w:bookmarkStart w:id="138" w:name="P138"/>
    <w:bookmarkEnd w:id="138"/>
    <w:p>
      <w:pPr>
        <w:pStyle w:val="0"/>
        <w:spacing w:before="200" w:line-rule="auto"/>
        <w:ind w:firstLine="540"/>
        <w:jc w:val="both"/>
      </w:pPr>
      <w:r>
        <w:rPr>
          <w:sz w:val="20"/>
        </w:rPr>
        <w:t xml:space="preserve">&lt;**&gt; Класс транспортного средства:</w:t>
      </w:r>
    </w:p>
    <w:p>
      <w:pPr>
        <w:pStyle w:val="0"/>
        <w:spacing w:before="200" w:line-rule="auto"/>
        <w:ind w:firstLine="540"/>
        <w:jc w:val="both"/>
      </w:pPr>
      <w:r>
        <w:rPr>
          <w:sz w:val="20"/>
        </w:rPr>
        <w:t xml:space="preserve">- М - малый класс (длина от 5 метров до 7,5 метра включительно);</w:t>
      </w:r>
    </w:p>
    <w:p>
      <w:pPr>
        <w:pStyle w:val="0"/>
        <w:spacing w:before="200" w:line-rule="auto"/>
        <w:ind w:firstLine="540"/>
        <w:jc w:val="both"/>
      </w:pPr>
      <w:r>
        <w:rPr>
          <w:sz w:val="20"/>
        </w:rPr>
        <w:t xml:space="preserve">- С - средний класс (длина от 7,5 метра до 10 метров включительно);</w:t>
      </w:r>
    </w:p>
    <w:p>
      <w:pPr>
        <w:pStyle w:val="0"/>
        <w:spacing w:before="200" w:line-rule="auto"/>
        <w:ind w:firstLine="540"/>
        <w:jc w:val="both"/>
      </w:pPr>
      <w:r>
        <w:rPr>
          <w:sz w:val="20"/>
        </w:rPr>
        <w:t xml:space="preserve">- Б - большой класс (длина более чем 10 метров).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Минтранса Рязанской области от 20.07.2016 N 18</w:t>
            <w:br/>
            <w:t>(ред. от 23.01.2025)</w:t>
            <w:br/>
            <w:t>"Об установлении шкалы критериев для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83896&amp;dst=100005" TargetMode = "External"/>
	<Relationship Id="rId8" Type="http://schemas.openxmlformats.org/officeDocument/2006/relationships/hyperlink" Target="https://login.consultant.ru/link/?req=doc&amp;base=RLAW073&amp;n=434120&amp;dst=100005" TargetMode = "External"/>
	<Relationship Id="rId9" Type="http://schemas.openxmlformats.org/officeDocument/2006/relationships/hyperlink" Target="https://login.consultant.ru/link/?req=doc&amp;base=RLAW073&amp;n=452969&amp;dst=100005" TargetMode = "External"/>
	<Relationship Id="rId10" Type="http://schemas.openxmlformats.org/officeDocument/2006/relationships/hyperlink" Target="https://login.consultant.ru/link/?req=doc&amp;base=LAW&amp;n=456504&amp;dst=100208" TargetMode = "External"/>
	<Relationship Id="rId11" Type="http://schemas.openxmlformats.org/officeDocument/2006/relationships/hyperlink" Target="https://login.consultant.ru/link/?req=doc&amp;base=RLAW073&amp;n=450755&amp;dst=100018" TargetMode = "External"/>
	<Relationship Id="rId12" Type="http://schemas.openxmlformats.org/officeDocument/2006/relationships/hyperlink" Target="https://login.consultant.ru/link/?req=doc&amp;base=RLAW073&amp;n=283896&amp;dst=100005" TargetMode = "External"/>
	<Relationship Id="rId13" Type="http://schemas.openxmlformats.org/officeDocument/2006/relationships/hyperlink" Target="https://login.consultant.ru/link/?req=doc&amp;base=RLAW073&amp;n=434120&amp;dst=100005" TargetMode = "External"/>
	<Relationship Id="rId14" Type="http://schemas.openxmlformats.org/officeDocument/2006/relationships/hyperlink" Target="https://login.consultant.ru/link/?req=doc&amp;base=RLAW073&amp;n=452969&amp;dst=100005" TargetMode = "External"/>
	<Relationship Id="rId15" Type="http://schemas.openxmlformats.org/officeDocument/2006/relationships/hyperlink" Target="https://login.consultant.ru/link/?req=doc&amp;base=RLAW073&amp;n=452969&amp;dst=100005" TargetMode = "External"/>
	<Relationship Id="rId16" Type="http://schemas.openxmlformats.org/officeDocument/2006/relationships/hyperlink" Target="https://login.consultant.ru/link/?req=doc&amp;base=RLAW073&amp;n=452969&amp;dst=1000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Минтранса Рязанской области от 20.07.2016 N 18
(ред. от 23.01.2025)
"Об установлении шкалы критериев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dc:title>
  <dcterms:created xsi:type="dcterms:W3CDTF">2025-01-30T08:44:50Z</dcterms:created>
</cp:coreProperties>
</file>