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Минцифры Рязанской области от 24.11.2022 N 2</w:t>
              <w:br/>
              <w:t xml:space="preserve">(ред. от 25.07.2025)</w:t>
              <w:br/>
              <w:t xml:space="preserve">"Об утверждении технических требований к карте цифрового сервиса "Единая цифровая карта жителя Рязанской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ЦИФРОВОГО РАЗВИТИЯ, ИНФОРМАЦИОННЫХ ТЕХНОЛОГИЙ</w:t>
      </w:r>
    </w:p>
    <w:p>
      <w:pPr>
        <w:pStyle w:val="2"/>
        <w:jc w:val="center"/>
      </w:pPr>
      <w:r>
        <w:rPr>
          <w:sz w:val="24"/>
        </w:rPr>
        <w:t xml:space="preserve">И СВЯЗИ РЯЗАНСКОЙ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ноября 2022 г. N 2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ТЕХНИЧЕСКИХ ТРЕБОВАНИЙ К КАРТЕ ЦИФРОВОГО</w:t>
      </w:r>
    </w:p>
    <w:p>
      <w:pPr>
        <w:pStyle w:val="2"/>
        <w:jc w:val="center"/>
      </w:pPr>
      <w:r>
        <w:rPr>
          <w:sz w:val="24"/>
        </w:rPr>
        <w:t xml:space="preserve">СЕРВИСА "ЕДИНАЯ ЦИФРОВАЯ КАРТА ЖИТЕЛЯ РЯЗАНСКОЙ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Минцифры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09.06.2025 </w:t>
            </w:r>
            <w:hyperlink w:history="0" r:id="rId7" w:tooltip="Постановление Минцифры Рязанской области от 09.06.2025 N 4 &quot;О внесении изменений в постановление министерства цифрового развития, информационных технологий и связи Рязанской области от 24.11.2022 N 2 &quot;Об утверждении технических требований к карте цифрового сервиса &quot;Единая цифровая карта жителя Рязанской области&quot; {КонсультантПлюс}">
              <w:r>
                <w:rPr>
                  <w:sz w:val="24"/>
                  <w:color w:val="0000ff"/>
                </w:rPr>
                <w:t xml:space="preserve">N 4</w:t>
              </w:r>
            </w:hyperlink>
            <w:r>
              <w:rPr>
                <w:sz w:val="24"/>
                <w:color w:val="392c69"/>
              </w:rPr>
              <w:t xml:space="preserve">, от 25.07.2025 </w:t>
            </w:r>
            <w:hyperlink w:history="0" r:id="rId8" w:tooltip="Постановление Минцифры Рязанской области от 25.07.2025 N 5 &quot;О внесении изменений в постановление министерства цифрового развития, информационных технологий и связи Рязанской области от 24.11.2022 N 2 &quot;Об утверждении технических требований к карте цифрового сервиса &quot;Единая цифровая карта жителя Рязанской области&quot; {КонсультантПлюс}">
              <w:r>
                <w:rPr>
                  <w:sz w:val="24"/>
                  <w:color w:val="0000ff"/>
                </w:rPr>
                <w:t xml:space="preserve">N 5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 исполнение Соглашения от 16.06.2022 N 63-1 о сотрудничестве между Правительством Рязанской области и Акционерным обществом "Национальная система платежных карт", в целях создания универсального платежно-сервисного инструмента для населения Рязанской области, а также во исполнение </w:t>
      </w:r>
      <w:hyperlink w:history="0" r:id="rId9" w:tooltip="Постановление Правительства Рязанской области от 25.10.2022 N 380 (ред. от 03.04.2025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 министерство цифрового развития, информационных технологий и связи Рязанской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3" w:tooltip="ТЕХНИЧЕСКИЕ ТРЕБОВАНИЯ">
        <w:r>
          <w:rPr>
            <w:sz w:val="24"/>
            <w:color w:val="0000ff"/>
          </w:rPr>
          <w:t xml:space="preserve">технические требования</w:t>
        </w:r>
      </w:hyperlink>
      <w:r>
        <w:rPr>
          <w:sz w:val="24"/>
        </w:rPr>
        <w:t xml:space="preserve"> к карте цифрового сервиса "Единая цифровая карта жителя Рязанской области" в соответствии с приложением к настоящему постановлению.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4"/>
        </w:rPr>
        <w:t xml:space="preserve">цифрового развития, информационных</w:t>
      </w:r>
    </w:p>
    <w:p>
      <w:pPr>
        <w:pStyle w:val="0"/>
        <w:jc w:val="right"/>
      </w:pPr>
      <w:r>
        <w:rPr>
          <w:sz w:val="24"/>
        </w:rPr>
        <w:t xml:space="preserve">технологий и связи Рязанской области</w:t>
      </w:r>
    </w:p>
    <w:p>
      <w:pPr>
        <w:pStyle w:val="0"/>
        <w:jc w:val="right"/>
      </w:pPr>
      <w:r>
        <w:rPr>
          <w:sz w:val="24"/>
        </w:rPr>
        <w:t xml:space="preserve">Т.А.МОРОЗОВ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министерства цифрового развития,</w:t>
      </w:r>
    </w:p>
    <w:p>
      <w:pPr>
        <w:pStyle w:val="0"/>
        <w:jc w:val="right"/>
      </w:pPr>
      <w:r>
        <w:rPr>
          <w:sz w:val="24"/>
        </w:rPr>
        <w:t xml:space="preserve">информационных технологий и связи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24 ноября 2022 г. N 2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ТЕХНИЧЕСКИЕ ТРЕБОВАНИЯ</w:t>
      </w:r>
    </w:p>
    <w:p>
      <w:pPr>
        <w:pStyle w:val="2"/>
        <w:jc w:val="center"/>
      </w:pPr>
      <w:r>
        <w:rPr>
          <w:sz w:val="24"/>
        </w:rPr>
        <w:t xml:space="preserve">К КАРТЕ ЦИФРОВОГО СЕРВИСА "ЕДИНАЯ ЦИФРОВАЯ КАРТА ЖИТЕЛЯ</w:t>
      </w:r>
    </w:p>
    <w:p>
      <w:pPr>
        <w:pStyle w:val="2"/>
        <w:jc w:val="center"/>
      </w:pPr>
      <w:r>
        <w:rPr>
          <w:sz w:val="24"/>
        </w:rPr>
        <w:t xml:space="preserve">РЯЗАНСКОЙ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" w:tooltip="Постановление Минцифры Рязанской области от 25.07.2025 N 5 &quot;О внесении изменений в постановление министерства цифрового развития, информационных технологий и связи Рязанской области от 24.11.2022 N 2 &quot;Об утверждении технических требований к карте цифрового сервиса &quot;Единая цифровая карта жителя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Минцифры Рязанской области от 25.07.2025 N 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Настоящие требования определяют технические характеристики, состав и содержание элементов графического дизайна и цифрового дизайна карты цифрового сервиса "Единая цифровая карта жителя Рязанской области" (далее - ЕЦК, карта) и предназначены для применения кредитными организациями банками - эмитентами ЕЦК при осуществлении выпуска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ЕЦК представляет собой многофункциональную именную пластиковую смарт-карту на материальном носителе и/или виртуальном носителе (при наличии технической возможности и согласия заявителя), содержащем зафиксированную на нем информацию о держателе ЕЦК, в том числе подтверждающую право держателя ЕЦК на получение мер социальной поддержки (при наличии такого права), обеспечивающую получение мер социальной поддержки (в том числе в денежной форме с согласия держателя ЕЦК на открытый банковский счет в банке-эмитенте ЕЦК), социальных, медицинских, транспортных и иных услуг, участие в программах лояльности с использованием ЕЦК, на которой размещена визуальная и электронная информация и выпускается банком-эмитентом ЕЦК в виде: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банковской карты национальной платежной системы "Мир" со специальным графическим дизайном, отображаемым на материальном носителе (далее - ЕЦК со специальным графическим дизайном);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банковской карты национальной платежной системы "Мир" с цифровым дизайном, отображаемым на виртуальном носителе в мобильном приложении банка-эмитента ЕЦК (далее - ЕЦК с цифровым дизайном), при согласии заявителя и наличии технической возможности у заявителя и банка-эмитента.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Подключение действующей банковской карты национальной платежной системы "Мир" к цифровому сервису "Единая цифровая карта жителя Рязанской области" производится банком-эмитентом ЕЦК (при наличии технической возможности) на основании заявления держателя такой банковской карты.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Подключение банковской карты национальной платежной системы "Мир" к цифровому сервису "Единая цифровая карта жителя Рязанской области" - процедура присвоения статуса ЕЦК в цифровом сервисе "Единая цифровая карта жителя Рязанской области" для дебетовой банковской карты национальной платежной системы "Мир" с цифровым дизайном, отображаемом в мобильном приложении банка-эмитента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На ЕЦК с цифровым дизайном и ЕЦК со специальным графическим дизайном предоставляется возможность функционирования приложений (сервисов) ЕЦК, предусмотренных </w:t>
      </w:r>
      <w:hyperlink w:history="0" r:id="rId11" w:tooltip="Постановление Правительства Рязанской области от 25.10.2022 N 380 (ред. от 03.04.2025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Кредитная организация согласовывает с Министерством и оператором цифрового сервиса ЕЦК (далее - оператор ЕЦК):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внешний вид лицевой и оборотной стороны ЕЦК, включая графический и цифровой дизайн, а также элементы, отображаемые в соответствующем разделе мобильного приложения банка-эмитента ЕЦК;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форм-фактор ЕЦК, отличный от настоящих технических требований, при условии сохранения возможности получения ЕЦК в соответствии с настоящими техническими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Министерство и оператор ЕЦК осуществляют согласование в течение пяти рабочих дней со дня получения согласуемой информации от кредитной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Кредитная организация вправе запросить графические материалы фонового изображения для размещения на лицевой стороне ЕЦК с цифровым дизайном в векторном виде у Министерства или разработать самостоятельно, а также определить цвет шрифта словосочетания "Единая цифровая карта жителя Рязанской области".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Требования к ЕЦК со специальным графическим дизайном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Общие требования к ЕЦК со специальным графическим дизайном: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графического дизайна, который разрабатывается кредитной организацией с учетом его нанесения на ЕЦК формата ID-1 в соответствии с национальным стандартом Российской Федерации ГОСТ Р ИСО/МЭК 7810-2015 "Карты идентификационные. Физические характеристики", документами "Фирменный стиль бренда "Мир". Руководство по использованию", "Стандарт платежной системы "Мир". Руководство по дизайну карты "Мир" акционерного общества "Национальная система платежных карт";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словосочетания "Единая цифровая карта жителя Рязанской области" (предоставляется в векторном формате Министерством);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изображения бренда Рязанской области (предоставляется в векторном формате Министерством);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логотипа программы "Забота" (предоставляется в векторном формате Министерством) по согласованию с правообладателем программы "Забота" для держателя карты, который имеет право на участие в данной программе;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QR-кода. Требования к QR-коду: параметры генерации QR-кода (номер версии - 1, уровень коррекции - H). Темный код и светлый фон, четкая печать без размытия. Содержание: уникальный идентификатор ЕЦК;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штрих-кода (Code-128). Требования к штрих-коду: темный код и светлый фон, четкая печать без размытия. Содержание: уникальный идентификатор ЕЦК (при наличии технической возможности);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печать уникального идентификатора ЕЦК "цифрами" под штрих-кодом (обязательно при наличии технической возможности печати штрих-кода);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печать уникального идентификатора ЕЦК "цифрами" (при отсутствии технической возможности печати штрих-кода с цифровым идентификатором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Уникальный идентификатор ЕЦК со специальным графическим дизайном формируется по следующему алгоритму: 62XXXXXXXXXXXXXZ - строка из 16 цифр, где: 62 - фиксированный префикс для ЕЦК; X - цифра от "0" до "9"; Z - 1 цифра, контрольное число (число Луна);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названия адреса официального сайта оператора ЕЦК;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номера телефона оператора ЕЦК рядом с адресом его официального сайта.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Все наносимые на карту элементы графического дизайна должны быть четко и однозначно читаемыми и сохраняться в течение всего срока службы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ЕЦК со специальным графическим дизайном должна соответствовать требованиям национальной платежной системы "Мир".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Требования к ЕЦК с цифровым дизайном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Общие требования к ЕЦК с цифровым дизайном: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словосочетания "Единая цифровая карта жителя Рязанской области" (предоставляется в векторном формате Министерством);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изображения бренда Рязанской области (предоставляется в векторном формате Министерством);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логотипа программы "Забота" (предоставляется в векторном формате Министерством) по согласованию с правообладателем программы "Забота" для держателя карты, который имеет право на участие в данной программе;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QR-кода. Требования к QR-коду: параметры генерации QR-кода (номер версии - 1, уровень коррекции - H). Темный код и светлый фон. Содержание: уникальный идентификатор ЕЦК;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штрих-кода (Code-128). Требования к штрих-коду: темный код и светлый фон. Содержание: уникальный идентификатор ЕЦК (при наличии технической возможности);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отображение уникального идентификатора ЕЦК "цифрами" под штрих-кодом (обязательно при наличии технической возможности отображения штрих-кода);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отображение уникального идентификатора ЕЦК "цифрами" (при отсутствии технической возможности отображения штрих-кода с цифровым идентификатором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Уникальный идентификатор ЕЦК с цифровым дизайном формируется по следующему алгоритму: 62XXXXXXXXXXXXXZ - строка из 16 цифр, где: 62 - фиксированный префикс для ЕЦК; X - цифра от "0" до "9"; Z - 1 цифра, контрольное число (число Луна);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названия адреса официального сайта оператора ЕЦК;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номера телефона оператора ЕЦК рядом с адресом его официального сайта.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QR-код, штрих-код, название адреса официального сайта оператора ЕЦК и номер телефона оператора ЕЦК отображаются на ЕЦК с цифровом дизайном и (или) в соответствующем разделе мобильного приложения банка-эмитента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ЕЦК с цифровым дизайном должна соответствовать требованиям национальной платежной системы "Мир".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Технические характеристики ЕЦК</w:t>
      </w:r>
    </w:p>
    <w:p>
      <w:pPr>
        <w:pStyle w:val="2"/>
        <w:jc w:val="center"/>
      </w:pPr>
      <w:r>
        <w:rPr>
          <w:sz w:val="24"/>
        </w:rPr>
        <w:t xml:space="preserve">со специальным графическим дизайном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2373"/>
        <w:gridCol w:w="5839"/>
      </w:tblGrid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237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Параметр</w:t>
            </w:r>
          </w:p>
        </w:tc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Характеристика</w:t>
            </w:r>
          </w:p>
        </w:tc>
      </w:tr>
      <w:tr>
        <w:tc>
          <w:tcPr>
            <w:tcW w:w="7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8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Общие технические требования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Материал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PVC-пластик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Размер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Формат ID-1 в соответствии с национальным стандартом Российской Федерации ГОСТ Р ИСО/МЭК 7810-2015 "Карты идентификационные. Физические характеристики":</w:t>
            </w:r>
          </w:p>
          <w:p>
            <w:pPr>
              <w:pStyle w:val="0"/>
            </w:pPr>
            <w:r>
              <w:rPr>
                <w:sz w:val="24"/>
              </w:rPr>
              <w:t xml:space="preserve">ширина 85,595 +/- 0,025 мм</w:t>
            </w:r>
          </w:p>
          <w:p>
            <w:pPr>
              <w:pStyle w:val="0"/>
            </w:pPr>
            <w:r>
              <w:rPr>
                <w:sz w:val="24"/>
              </w:rPr>
              <w:t xml:space="preserve">высота 53,975 +/- 0,055 мм</w:t>
            </w:r>
          </w:p>
          <w:p>
            <w:pPr>
              <w:pStyle w:val="0"/>
            </w:pPr>
            <w:r>
              <w:rPr>
                <w:sz w:val="24"/>
              </w:rPr>
              <w:t xml:space="preserve">толщина 0,760 +/-0,080 мм</w:t>
            </w:r>
          </w:p>
          <w:p>
            <w:pPr>
              <w:pStyle w:val="0"/>
            </w:pPr>
            <w:r>
              <w:rPr>
                <w:sz w:val="24"/>
              </w:rPr>
              <w:t xml:space="preserve">радиус скругления углов 3,180 +/- 0,30 мм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Срок службы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3 лет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циклов чтения-записи памяти карты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100000 штук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Магнитная полоса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HiCo 2750 Ое</w:t>
            </w:r>
          </w:p>
          <w:p>
            <w:pPr>
              <w:pStyle w:val="0"/>
            </w:pPr>
            <w:r>
              <w:rPr>
                <w:sz w:val="24"/>
              </w:rPr>
              <w:t xml:space="preserve">Кодирование (персонализация) магнитной полосы и размещение данных на первой и второй дорожках - в соответствии с документом "Требования к данным на магнитной полосе и EMV-эквиваленте карты Платежной системы "Мир" и иными документами акционерного общества "Национальная система платежных карт"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Товарный знак "Мир"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требованиями акционерного общества "Национальная система платежных карт"</w:t>
            </w:r>
          </w:p>
        </w:tc>
      </w:tr>
      <w:tr>
        <w:tc>
          <w:tcPr>
            <w:tcW w:w="7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8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печати и размещению графических элементов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Печать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Для заготовки ЕЦК - офсетная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соответствии с требованиями банка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Защитный слой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Матовый, ламинирование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Разрешение печати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600 dpi x 600 dpi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Максимальная цветность печати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CMYK (Cyan (сине-зеленый), Magenta (пурпурный), Yellow (желтый), Keycolor (черный)</w:t>
            </w:r>
          </w:p>
        </w:tc>
      </w:tr>
      <w:tr>
        <w:tc>
          <w:tcPr>
            <w:tcW w:w="7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8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Дополнительные технические характеристики ЕЦК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Тип карты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Дуальная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соответствии с ГОСТами: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7811-2017 "Карты идентификационные" и ГОСТ Р ИСО/МЭК 7816-2013 "Карты идентификационные. Карты на интегральных схемах"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Поддержка стандартов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к карточным платформам. Процедура подготовки карты ПС "Мир"</w:t>
            </w:r>
          </w:p>
          <w:p>
            <w:pPr>
              <w:pStyle w:val="0"/>
            </w:pPr>
            <w:r>
              <w:rPr>
                <w:sz w:val="24"/>
              </w:rPr>
              <w:t xml:space="preserve">EMV, поддержка эмуляции технологии Mifare Classic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Рабочая частота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14443-2013 "Карты идентификационные. Карты на интегральных схемах бесконтактные. Карты близкого действия. Часть 1. Физические характеристики" 13,56 МГц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Скорость передачи данных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14443-2013 "Карты идентификационные. Карты на интегральных схемах бесконтактные. Карты близкого действия. Часть 2. Радиочастотный энергетический и сигнальный интерфейс" 106-848 Кбит/с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3.5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Стабильность размеров и коробление карт при воздействии температуры и влажности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7810-2015 "Национальный стандарт Российской Федерации. Карты идентификационные. Физические характеристики" от -35°С до +50°С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3.6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Рабочий диапазон температур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ГОСТ Р ИСО/МЭК 7810-2015 "Национальный стандарт Российской Федерации. Карты идентификационные. Физические характеристики" от 0°С до +50°С. Условия эксплуатации транспортного электронного приложения при рабочем диапазоне температур от -20°С до +50°С</w:t>
            </w:r>
          </w:p>
        </w:tc>
      </w:tr>
      <w:tr>
        <w:tc>
          <w:tcPr>
            <w:tcW w:w="7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2"/>
            <w:tcW w:w="8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банковскому платежному электронному приложению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Банковское платежное электронное приложение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документами "Стандарт ПС Мир. Спецификация персонализации платежного приложения Мир", "Стандарт ПС Мир. Продукты платежной системы Мир" и иными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Issuer Security Domain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Реализация механизма Proximity Payment System Environment (PPSE)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Согласно требованиям Национальной системы платежных карт, оператора национальной платежной системы "Мир"</w:t>
            </w:r>
          </w:p>
        </w:tc>
      </w:tr>
      <w:tr>
        <w:tc>
          <w:tcPr>
            <w:tcW w:w="7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2"/>
            <w:tcW w:w="8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транспортному электронному приложению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электронное приложение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Электронное приложение, обеспечивающее запись, хранение и контроль использования проездных документов при проезде в транспорте общего пользования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Требования совместимости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Совместимость с программно-аппаратными комплексами действующих автоматизированных систем оплаты проезда в Рязанской области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5.3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Запись проездных документов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по бесконтактному интерфейсу с использованием команд по спецификациям Mifare Classic и/или в системе Account Based Ticketing (ABT) при наличии технической возможности в действующих системах контроля и автоматизированной оплаты проезда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5.4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Хранение и контроль использования проездных документов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в памяти области разметки Mifare Classic и/или в системе Account Based Ticketing (ABT) при наличии технической возможности в действующих системах контроля и автоматизированной оплаты проезда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5.5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Контроль использования проездных документов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 данных в памяти области разметки Mifare Classic и/или в системе Account Based Ticketing (ABT) при наличии технической возможности, необходимых для контроля использования в действующих системах контроля и автоматизированной оплаты проезда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5.6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Уровни безопасности транспортного приложения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Организационно-программный уровень безопасности транспортного приложения, обеспечивающий:</w:t>
            </w:r>
          </w:p>
          <w:p>
            <w:pPr>
              <w:pStyle w:val="0"/>
            </w:pPr>
            <w:r>
              <w:rPr>
                <w:sz w:val="24"/>
              </w:rPr>
              <w:t xml:space="preserve">- мониторинг остатков средств и срока действия электронного проездного билета держателя ЕЦК в центре обработки транспортных транзакций;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механизм блокировки и деблокировки карт транспортного приложения держателя ЕЦК;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механизм отслеживания транспортных транзакций, не переданных в центр обработки транспортных транзакций;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идентификацию транзакций по картам, не являющимися ЕЦК;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создание и контроль базы проездных при реализации технологии Account Based Ticketing (ABT) в действующих системах контроля и автоматизированной оплаты проезда;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взаимодействие с терминальным уровнем безопасности.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Терминальный уровень безопасности, обеспечивающий:</w:t>
            </w:r>
          </w:p>
          <w:p>
            <w:pPr>
              <w:pStyle w:val="0"/>
            </w:pPr>
            <w:r>
              <w:rPr>
                <w:sz w:val="24"/>
              </w:rPr>
              <w:t xml:space="preserve">- безопасное хранение ключевой информации, конфигурационных параметров базы проездных при реализации технологии Account Based Ticketing (ABT) в действующих системах контроля и автоматизированной оплаты проезда и программного кода;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безопасный механизм занесения ключевой информации, конфигурационных параметров и программного кода;</w:t>
            </w:r>
          </w:p>
          <w:p>
            <w:pPr>
              <w:pStyle w:val="0"/>
            </w:pPr>
            <w:r>
              <w:rPr>
                <w:sz w:val="24"/>
              </w:rPr>
              <w:t xml:space="preserve">- защищенный механизм хранения информации о проведенных транзакциях;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наличие контрольной суммы, обеспечивающей проверку целостности транзакционных данных;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взаимодействие с карточным уровнем безопасности.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Карточный уровень безопасности, обеспечивающий:</w:t>
            </w:r>
          </w:p>
          <w:p>
            <w:pPr>
              <w:pStyle w:val="0"/>
            </w:pPr>
            <w:r>
              <w:rPr>
                <w:sz w:val="24"/>
              </w:rPr>
              <w:t xml:space="preserve">- диверсификацию ключей доступа к карте на уникальном номере чипа карты (каждая карта имеет свои собственные ключи доступа);</w:t>
            </w:r>
          </w:p>
          <w:p>
            <w:pPr>
              <w:pStyle w:val="0"/>
            </w:pPr>
            <w:r>
              <w:rPr>
                <w:sz w:val="24"/>
              </w:rPr>
              <w:t xml:space="preserve">- ведение на карте аппаратного счетчика транзакций, необратимо меняющегося при каждой транзакции;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наличие скрытых элементов безопасности в памяти карты;</w:t>
            </w:r>
          </w:p>
          <w:p>
            <w:pPr>
              <w:pStyle w:val="0"/>
            </w:pPr>
            <w:r>
              <w:rPr>
                <w:sz w:val="24"/>
              </w:rPr>
              <w:t xml:space="preserve">- хранение признака блокировки карты в памяти самой карты;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наличие контрольной суммы, обеспечивающей проверку целостности данных карты</w:t>
            </w:r>
          </w:p>
        </w:tc>
      </w:tr>
      <w:tr>
        <w:tc>
          <w:tcPr>
            <w:tcW w:w="7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2"/>
            <w:tcW w:w="82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Технические требования к идентификации держателя ЕЦК</w:t>
            </w:r>
          </w:p>
        </w:tc>
      </w:tr>
      <w:tr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373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Идентификация держателя ЕЦК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Идентификация осуществляется с помощью уникального идентификатора ЕЦК. Алгоритм формирования уникального идентификатора ЕЦК приведен в разделе I настоящих технических требований. Идентификатор размещается на ЕЦК банком-эмитентом ЕЦК с помощью уникального идентификатора ЕЦК, сформированного оператором ЕЦК и переданного банку-эмитенту ЕЦК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Технические характеристики ЕЦК с цифровым дизайном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Технические характеристики ЕЦК с цифровым дизайном должны соответствовать требованиям стандартам платежной системы "Мир".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Минцифры Рязанской области от 24.11.2022 N 2</w:t>
            <w:br/>
            <w:t>(ред. от 25.07.2025)</w:t>
            <w:br/>
            <w:t>"Об утверждении технических требований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465345&amp;date=31.07.2025&amp;dst=100005&amp;field=134" TargetMode = "External"/>
	<Relationship Id="rId8" Type="http://schemas.openxmlformats.org/officeDocument/2006/relationships/hyperlink" Target="https://login.consultant.ru/link/?req=doc&amp;base=RLAW073&amp;n=468677&amp;date=31.07.2025&amp;dst=100005&amp;field=134" TargetMode = "External"/>
	<Relationship Id="rId9" Type="http://schemas.openxmlformats.org/officeDocument/2006/relationships/hyperlink" Target="https://login.consultant.ru/link/?req=doc&amp;base=RLAW073&amp;n=460235&amp;date=31.07.2025&amp;dst=100012&amp;field=134" TargetMode = "External"/>
	<Relationship Id="rId10" Type="http://schemas.openxmlformats.org/officeDocument/2006/relationships/hyperlink" Target="https://login.consultant.ru/link/?req=doc&amp;base=RLAW073&amp;n=468677&amp;date=31.07.2025&amp;dst=100005&amp;field=134" TargetMode = "External"/>
	<Relationship Id="rId11" Type="http://schemas.openxmlformats.org/officeDocument/2006/relationships/hyperlink" Target="https://login.consultant.ru/link/?req=doc&amp;base=RLAW073&amp;n=460235&amp;date=31.07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Минцифры Рязанской области от 24.11.2022 N 2
(ред. от 25.07.2025)
"Об утверждении технических требований к карте цифрового сервиса "Единая цифровая карта жителя Рязанской области"</dc:title>
  <dcterms:created xsi:type="dcterms:W3CDTF">2025-07-31T10:36:08Z</dcterms:created>
</cp:coreProperties>
</file>