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Рязани от 22.06.2016 N 2694</w:t>
              <w:br/>
              <w:t xml:space="preserve">(ред. от 29.08.2025)</w:t>
              <w:br/>
              <w:t xml:space="preserve">"Об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РЯЗАНИ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22 июня 2016 г. N 2694</w:t>
      </w:r>
    </w:p>
    <w:p>
      <w:pPr>
        <w:pStyle w:val="2"/>
        <w:jc w:val="center"/>
      </w:pPr>
      <w:r>
        <w:rPr>
          <w:sz w:val="24"/>
        </w:rPr>
      </w:r>
    </w:p>
    <w:p>
      <w:pPr>
        <w:pStyle w:val="2"/>
        <w:jc w:val="center"/>
      </w:pPr>
      <w:r>
        <w:rPr>
          <w:sz w:val="24"/>
        </w:rPr>
        <w:t xml:space="preserve">ОБ УТВЕРЖДЕНИИ ПОЛОЖЕНИЯ ОБ ОПЛАТЕ ПРОЕЗДА В</w:t>
      </w:r>
    </w:p>
    <w:p>
      <w:pPr>
        <w:pStyle w:val="2"/>
        <w:jc w:val="center"/>
      </w:pPr>
      <w:r>
        <w:rPr>
          <w:sz w:val="24"/>
        </w:rPr>
        <w:t xml:space="preserve">ГОРОДСКОМ ПАССАЖИРСКОМ ТРАНСПОРТЕ ОБЩЕГО ПОЛЬЗОВАНИЯ</w:t>
      </w:r>
    </w:p>
    <w:p>
      <w:pPr>
        <w:pStyle w:val="2"/>
        <w:jc w:val="center"/>
      </w:pPr>
      <w:r>
        <w:rPr>
          <w:sz w:val="24"/>
        </w:rPr>
        <w:t xml:space="preserve">МУНИЦИПАЛЬНОГО ОБРАЗОВАНИЯ - ГОРОДСКОЙ ОКРУГ ГОРОД РЯЗАНЬ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Рязани</w:t>
            </w:r>
          </w:p>
          <w:p>
            <w:pPr>
              <w:pStyle w:val="0"/>
              <w:jc w:val="center"/>
            </w:pPr>
            <w:r>
              <w:rPr>
                <w:sz w:val="24"/>
                <w:color w:val="392c69"/>
              </w:rPr>
              <w:t xml:space="preserve">от 19.09.2016 </w:t>
            </w:r>
            <w:hyperlink w:history="0" r:id="rId7" w:tooltip="Постановление Администрации города Рязани от 19.09.2016 N 4141 &quot;О внесении изменения в приложение N 1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4141</w:t>
              </w:r>
            </w:hyperlink>
            <w:r>
              <w:rPr>
                <w:sz w:val="24"/>
                <w:color w:val="392c69"/>
              </w:rPr>
              <w:t xml:space="preserve">, от 17.11.2016 </w:t>
            </w:r>
            <w:hyperlink w:history="0" r:id="rId8" w:tooltip="Постановление Администрации города Рязани от 17.11.2016 N 5013 &quot;О внесении изменений в приложение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5013</w:t>
              </w:r>
            </w:hyperlink>
            <w:r>
              <w:rPr>
                <w:sz w:val="24"/>
                <w:color w:val="392c69"/>
              </w:rPr>
              <w:t xml:space="preserve">, от 24.01.2017 </w:t>
            </w:r>
            <w:hyperlink w:history="0" r:id="rId9" w:tooltip="Постановление Администрации города Рязани от 24.01.2017 N 180 &quot;О внесении изменения в приложение N 1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180</w:t>
              </w:r>
            </w:hyperlink>
            <w:r>
              <w:rPr>
                <w:sz w:val="24"/>
                <w:color w:val="392c69"/>
              </w:rPr>
              <w:t xml:space="preserve">,</w:t>
            </w:r>
          </w:p>
          <w:p>
            <w:pPr>
              <w:pStyle w:val="0"/>
              <w:jc w:val="center"/>
            </w:pPr>
            <w:r>
              <w:rPr>
                <w:sz w:val="24"/>
                <w:color w:val="392c69"/>
              </w:rPr>
              <w:t xml:space="preserve">от 09.10.2017 </w:t>
            </w:r>
            <w:hyperlink w:history="0" r:id="rId10" w:tooltip="Постановление Администрации города Рязани от 09.10.2017 N 4445 &quot;О внесении изменений в приложения N 1 и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4445</w:t>
              </w:r>
            </w:hyperlink>
            <w:r>
              <w:rPr>
                <w:sz w:val="24"/>
                <w:color w:val="392c69"/>
              </w:rPr>
              <w:t xml:space="preserve">, от 11.05.2018 </w:t>
            </w:r>
            <w:hyperlink w:history="0" r:id="rId11" w:tooltip="Постановление Администрации города Рязани от 11.05.2018 N 1794 &quot;О внесении изменений в приложения N 1 и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1794</w:t>
              </w:r>
            </w:hyperlink>
            <w:r>
              <w:rPr>
                <w:sz w:val="24"/>
                <w:color w:val="392c69"/>
              </w:rPr>
              <w:t xml:space="preserve">, от 21.03.2019 </w:t>
            </w:r>
            <w:hyperlink w:history="0" r:id="rId12" w:tooltip="Постановление Администрации города Рязани от 21.03.2019 N 959 &quot;О внесении изменений в приложения N 1 и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959</w:t>
              </w:r>
            </w:hyperlink>
            <w:r>
              <w:rPr>
                <w:sz w:val="24"/>
                <w:color w:val="392c69"/>
              </w:rPr>
              <w:t xml:space="preserve">,</w:t>
            </w:r>
          </w:p>
          <w:p>
            <w:pPr>
              <w:pStyle w:val="0"/>
              <w:jc w:val="center"/>
            </w:pPr>
            <w:r>
              <w:rPr>
                <w:sz w:val="24"/>
                <w:color w:val="392c69"/>
              </w:rPr>
              <w:t xml:space="preserve">от 17.04.2019 </w:t>
            </w:r>
            <w:hyperlink w:history="0" r:id="rId13" w:tooltip="Постановление Администрации города Рязани от 17.04.2019 N 1320 &quot;О внесении изменения в приложение N 1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1320</w:t>
              </w:r>
            </w:hyperlink>
            <w:r>
              <w:rPr>
                <w:sz w:val="24"/>
                <w:color w:val="392c69"/>
              </w:rPr>
              <w:t xml:space="preserve">, от 07.08.2019 </w:t>
            </w:r>
            <w:hyperlink w:history="0" r:id="rId14" w:tooltip="Постановление Администрации города Рязани от 07.08.2019 N 3013 &quot;О внесении изменений в приложения N 1 и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3013</w:t>
              </w:r>
            </w:hyperlink>
            <w:r>
              <w:rPr>
                <w:sz w:val="24"/>
                <w:color w:val="392c69"/>
              </w:rPr>
              <w:t xml:space="preserve">, от 12.08.2022 </w:t>
            </w:r>
            <w:hyperlink w:history="0" r:id="rId15" w:tooltip="Постановление Администрации города Рязани от 12.08.2022 N 5988 &quot;О внесении изменений в приложение N 1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5988</w:t>
              </w:r>
            </w:hyperlink>
            <w:r>
              <w:rPr>
                <w:sz w:val="24"/>
                <w:color w:val="392c69"/>
              </w:rPr>
              <w:t xml:space="preserve">,</w:t>
            </w:r>
          </w:p>
          <w:p>
            <w:pPr>
              <w:pStyle w:val="0"/>
              <w:jc w:val="center"/>
            </w:pPr>
            <w:r>
              <w:rPr>
                <w:sz w:val="24"/>
                <w:color w:val="392c69"/>
              </w:rPr>
              <w:t xml:space="preserve">от 14.06.2023 </w:t>
            </w:r>
            <w:hyperlink w:history="0" r:id="rId16" w:tooltip="Постановление Администрации города Рязани от 14.06.2023 N 7991 &quot;О внесении изменений в приложения N 1 и N 2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7991</w:t>
              </w:r>
            </w:hyperlink>
            <w:r>
              <w:rPr>
                <w:sz w:val="24"/>
                <w:color w:val="392c69"/>
              </w:rPr>
              <w:t xml:space="preserve">, от 10.11.2023 </w:t>
            </w:r>
            <w:hyperlink w:history="0" r:id="rId17" w:tooltip="Постановление Администрации города Рязани от 10.11.2023 N 14394 &quot;О внесении изменений в приложение N 1 к Постановлению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14394</w:t>
              </w:r>
            </w:hyperlink>
            <w:r>
              <w:rPr>
                <w:sz w:val="24"/>
                <w:color w:val="392c69"/>
              </w:rPr>
              <w:t xml:space="preserve">, от 09.04.2024 </w:t>
            </w:r>
            <w:hyperlink w:history="0" r:id="rId18" w:tooltip="Постановление Администрации города Рязани от 09.04.2024 N 4895 &quot;О внесении изменений в Постановление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4895</w:t>
              </w:r>
            </w:hyperlink>
            <w:r>
              <w:rPr>
                <w:sz w:val="24"/>
                <w:color w:val="392c69"/>
              </w:rPr>
              <w:t xml:space="preserve">,</w:t>
            </w:r>
          </w:p>
          <w:p>
            <w:pPr>
              <w:pStyle w:val="0"/>
              <w:jc w:val="center"/>
            </w:pPr>
            <w:r>
              <w:rPr>
                <w:sz w:val="24"/>
                <w:color w:val="392c69"/>
              </w:rPr>
              <w:t xml:space="preserve">от 09.07.2024 </w:t>
            </w:r>
            <w:hyperlink w:history="0" r:id="rId19" w:tooltip="Постановление Администрации города Рязани от 09.07.2024 N 8517 &quot;О внесении изменения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8517</w:t>
              </w:r>
            </w:hyperlink>
            <w:r>
              <w:rPr>
                <w:sz w:val="24"/>
                <w:color w:val="392c69"/>
              </w:rPr>
              <w:t xml:space="preserve">, от 29.08.2025 </w:t>
            </w:r>
            <w:hyperlink w:history="0" r:id="rId20"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8427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внедрения системы электронной оплаты проезда в городском пассажирском транспорте общего пользования муниципального образования - городской округ город Рязань, руководствуясь </w:t>
      </w:r>
      <w:hyperlink w:history="0" r:id="rId21"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статьями 39</w:t>
        </w:r>
      </w:hyperlink>
      <w:r>
        <w:rPr>
          <w:sz w:val="24"/>
        </w:rPr>
        <w:t xml:space="preserve"> и </w:t>
      </w:r>
      <w:hyperlink w:history="0" r:id="rId22"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41</w:t>
        </w:r>
      </w:hyperlink>
      <w:r>
        <w:rPr>
          <w:sz w:val="24"/>
        </w:rPr>
        <w:t xml:space="preserve"> Устава муниципального образования - городской округ город Рязань Рязанской области, администрация города Рязани постановляет:</w:t>
      </w:r>
    </w:p>
    <w:p>
      <w:pPr>
        <w:pStyle w:val="0"/>
        <w:spacing w:before="240" w:line-rule="auto"/>
        <w:ind w:firstLine="540"/>
        <w:jc w:val="both"/>
      </w:pPr>
      <w:r>
        <w:rPr>
          <w:sz w:val="24"/>
        </w:rPr>
        <w:t xml:space="preserve">1. Утвердить </w:t>
      </w:r>
      <w:hyperlink w:history="0" w:anchor="P42" w:tooltip="ПОЛОЖЕНИЕ">
        <w:r>
          <w:rPr>
            <w:sz w:val="24"/>
            <w:color w:val="0000ff"/>
          </w:rPr>
          <w:t xml:space="preserve">Положение</w:t>
        </w:r>
      </w:hyperlink>
      <w:r>
        <w:rPr>
          <w:sz w:val="24"/>
        </w:rPr>
        <w:t xml:space="preserve"> об оплате проезда в городском пассажирском транспорте общего пользования муниципального образования - городской округ город Рязань согласно приложению к настоящему постановлению.</w:t>
      </w:r>
    </w:p>
    <w:p>
      <w:pPr>
        <w:pStyle w:val="0"/>
        <w:jc w:val="both"/>
      </w:pPr>
      <w:r>
        <w:rPr>
          <w:sz w:val="24"/>
        </w:rPr>
        <w:t xml:space="preserve">(п. 1 в ред. </w:t>
      </w:r>
      <w:hyperlink w:history="0" r:id="rId23" w:tooltip="Постановление Администрации города Рязани от 09.04.2024 N 4895 &quot;О внесении изменений в Постановление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09.04.2024 N 4895)</w:t>
      </w:r>
    </w:p>
    <w:p>
      <w:pPr>
        <w:pStyle w:val="0"/>
        <w:spacing w:before="240" w:line-rule="auto"/>
        <w:ind w:firstLine="540"/>
        <w:jc w:val="both"/>
      </w:pPr>
      <w:r>
        <w:rPr>
          <w:sz w:val="24"/>
        </w:rPr>
        <w:t xml:space="preserve">2. Исключен с 21.05.2024. - </w:t>
      </w:r>
      <w:hyperlink w:history="0" r:id="rId24" w:tooltip="Постановление Администрации города Рязани от 09.04.2024 N 4895 &quot;О внесении изменений в Постановление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w:t>
        </w:r>
      </w:hyperlink>
      <w:r>
        <w:rPr>
          <w:sz w:val="24"/>
        </w:rPr>
        <w:t xml:space="preserve"> Администрации города Рязани от 09.04.2024 N 4895.</w:t>
      </w:r>
    </w:p>
    <w:p>
      <w:pPr>
        <w:pStyle w:val="0"/>
        <w:spacing w:before="240" w:line-rule="auto"/>
        <w:ind w:firstLine="540"/>
        <w:jc w:val="both"/>
      </w:pPr>
      <w:r>
        <w:rPr>
          <w:sz w:val="24"/>
        </w:rPr>
        <w:t xml:space="preserve">3. Признать утратившими силу Постановления администрации города Рязани:</w:t>
      </w:r>
    </w:p>
    <w:p>
      <w:pPr>
        <w:pStyle w:val="0"/>
        <w:spacing w:before="240" w:line-rule="auto"/>
        <w:ind w:firstLine="540"/>
        <w:jc w:val="both"/>
      </w:pPr>
      <w:r>
        <w:rPr>
          <w:sz w:val="24"/>
        </w:rPr>
        <w:t xml:space="preserve">- от 14.03.2014 </w:t>
      </w:r>
      <w:hyperlink w:history="0" r:id="rId25" w:tooltip="Постановление Администрации города Рязани от 14.03.2014 N 960 (ред. от 17.03.2016) &quot;Об утверждении Положения об электронном проездном билете для оплаты проезда в городском пассажирском транспорте общего пользования города Рязани&quot; ------------ Утратил силу или отменен {КонсультантПлюс}">
        <w:r>
          <w:rPr>
            <w:sz w:val="24"/>
            <w:color w:val="0000ff"/>
          </w:rPr>
          <w:t xml:space="preserve">N 960</w:t>
        </w:r>
      </w:hyperlink>
      <w:r>
        <w:rPr>
          <w:sz w:val="24"/>
        </w:rPr>
        <w:t xml:space="preserve"> "Об утверждении Положения об электронном проездном билете для оплаты проезда в городском пассажирском транспорте общего пользования города Рязани";</w:t>
      </w:r>
    </w:p>
    <w:p>
      <w:pPr>
        <w:pStyle w:val="0"/>
        <w:spacing w:before="240" w:line-rule="auto"/>
        <w:ind w:firstLine="540"/>
        <w:jc w:val="both"/>
      </w:pPr>
      <w:r>
        <w:rPr>
          <w:sz w:val="24"/>
        </w:rPr>
        <w:t xml:space="preserve">- от 17.07.2015 </w:t>
      </w:r>
      <w:hyperlink w:history="0" r:id="rId26" w:tooltip="Постановление Администрации города Рязани от 17.07.2015 N 3244 &quot;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quot; ------------ Утратил силу или отменен {КонсультантПлюс}">
        <w:r>
          <w:rPr>
            <w:sz w:val="24"/>
            <w:color w:val="0000ff"/>
          </w:rPr>
          <w:t xml:space="preserve">N 3244</w:t>
        </w:r>
      </w:hyperlink>
      <w:r>
        <w:rPr>
          <w:sz w:val="24"/>
        </w:rPr>
        <w:t xml:space="preserve"> "О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w:t>
      </w:r>
    </w:p>
    <w:p>
      <w:pPr>
        <w:pStyle w:val="0"/>
        <w:spacing w:before="240" w:line-rule="auto"/>
        <w:ind w:firstLine="540"/>
        <w:jc w:val="both"/>
      </w:pPr>
      <w:r>
        <w:rPr>
          <w:sz w:val="24"/>
        </w:rPr>
        <w:t xml:space="preserve">- от 08.12.2015 </w:t>
      </w:r>
      <w:hyperlink w:history="0" r:id="rId27" w:tooltip="Постановление Администрации города Рязани от 08.12.2015 N 5588 &quot;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quot; ------------ Утратил силу или отменен {КонсультантПлюс}">
        <w:r>
          <w:rPr>
            <w:sz w:val="24"/>
            <w:color w:val="0000ff"/>
          </w:rPr>
          <w:t xml:space="preserve">N 5588</w:t>
        </w:r>
      </w:hyperlink>
      <w:r>
        <w:rPr>
          <w:sz w:val="24"/>
        </w:rPr>
        <w:t xml:space="preserve"> "О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w:t>
      </w:r>
    </w:p>
    <w:p>
      <w:pPr>
        <w:pStyle w:val="0"/>
        <w:spacing w:before="240" w:line-rule="auto"/>
        <w:ind w:firstLine="540"/>
        <w:jc w:val="both"/>
      </w:pPr>
      <w:r>
        <w:rPr>
          <w:sz w:val="24"/>
        </w:rPr>
        <w:t xml:space="preserve">- от 17.03.2016 </w:t>
      </w:r>
      <w:hyperlink w:history="0" r:id="rId28" w:tooltip="Постановление Администрации города Рязани от 17.03.2016 N 1089 &quot;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quot; ------------ Утратил силу или отменен {КонсультантПлюс}">
        <w:r>
          <w:rPr>
            <w:sz w:val="24"/>
            <w:color w:val="0000ff"/>
          </w:rPr>
          <w:t xml:space="preserve">N 1089</w:t>
        </w:r>
      </w:hyperlink>
      <w:r>
        <w:rPr>
          <w:sz w:val="24"/>
        </w:rPr>
        <w:t xml:space="preserve"> "О внесении изменений в Положение об электронном проездном билете для оплаты проезда в городском пассажирском транспорте общего пользования города Рязани, утвержденное Постановлением администрации города Рязани от 14.03.2014 N 960".</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5. Отделу по связям со средствами массовой информации администрации города Рязани (Романова Е.С.) опубликовать настоящее постановление в газете "Рязанские ведомости".</w:t>
      </w:r>
    </w:p>
    <w:p>
      <w:pPr>
        <w:pStyle w:val="0"/>
        <w:spacing w:before="240" w:line-rule="auto"/>
        <w:ind w:firstLine="540"/>
        <w:jc w:val="both"/>
      </w:pPr>
      <w:r>
        <w:rPr>
          <w:sz w:val="24"/>
        </w:rPr>
        <w:t xml:space="preserve">6. Контроль за исполнением настоящего постановления возложить на первого заместителя главы администрации В.Д.Трушкина.</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О.Е.БУЛЕКОВ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администрации города Рязани</w:t>
      </w:r>
    </w:p>
    <w:p>
      <w:pPr>
        <w:pStyle w:val="0"/>
        <w:jc w:val="right"/>
      </w:pPr>
      <w:r>
        <w:rPr>
          <w:sz w:val="24"/>
        </w:rPr>
        <w:t xml:space="preserve">от 22 июня 2016 г. N 2694</w:t>
      </w:r>
    </w:p>
    <w:p>
      <w:pPr>
        <w:pStyle w:val="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ОБ ОПЛАТЕ ПРОЕЗДА В ГОРОДСКОМ ПАССАЖИРСКОМ ТРАНСПОРТЕ</w:t>
      </w:r>
    </w:p>
    <w:p>
      <w:pPr>
        <w:pStyle w:val="2"/>
        <w:jc w:val="center"/>
      </w:pPr>
      <w:r>
        <w:rPr>
          <w:sz w:val="24"/>
        </w:rPr>
        <w:t xml:space="preserve">ОБЩЕГО ПОЛЬЗОВАНИЯ МУНИЦИПАЛЬНОГО ОБРАЗОВАНИЯ - ГОРОДСКОЙ</w:t>
      </w:r>
    </w:p>
    <w:p>
      <w:pPr>
        <w:pStyle w:val="2"/>
        <w:jc w:val="center"/>
      </w:pPr>
      <w:r>
        <w:rPr>
          <w:sz w:val="24"/>
        </w:rPr>
        <w:t xml:space="preserve">ОКРУГ ГОРОД РЯЗАНЬ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Рязани</w:t>
            </w:r>
          </w:p>
          <w:p>
            <w:pPr>
              <w:pStyle w:val="0"/>
              <w:jc w:val="center"/>
            </w:pPr>
            <w:r>
              <w:rPr>
                <w:sz w:val="24"/>
                <w:color w:val="392c69"/>
              </w:rPr>
              <w:t xml:space="preserve">от 09.04.2024 </w:t>
            </w:r>
            <w:hyperlink w:history="0" r:id="rId29" w:tooltip="Постановление Администрации города Рязани от 09.04.2024 N 4895 &quot;О внесении изменений в Постановление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4895</w:t>
              </w:r>
            </w:hyperlink>
            <w:r>
              <w:rPr>
                <w:sz w:val="24"/>
                <w:color w:val="392c69"/>
              </w:rPr>
              <w:t xml:space="preserve">, от 09.07.2024 </w:t>
            </w:r>
            <w:hyperlink w:history="0" r:id="rId30" w:tooltip="Постановление Администрации города Рязани от 09.07.2024 N 8517 &quot;О внесении изменения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8517</w:t>
              </w:r>
            </w:hyperlink>
            <w:r>
              <w:rPr>
                <w:sz w:val="24"/>
                <w:color w:val="392c69"/>
              </w:rPr>
              <w:t xml:space="preserve">, от 29.08.2025 </w:t>
            </w:r>
            <w:hyperlink w:history="0" r:id="rId31"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N 8427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об оплате проезда в городском пассажирском транспорте общего пользования муниципального образования - городской округ город Рязань (далее - Положение) устанавливает порядок взаимоотношений сторон, возникающих в процессе работы автоматизированной системы оплаты проезда в городском пассажирском транспорте общего пользования муниципального образования - городской округ город Рязань.</w:t>
      </w:r>
    </w:p>
    <w:p>
      <w:pPr>
        <w:pStyle w:val="0"/>
        <w:spacing w:before="240" w:line-rule="auto"/>
        <w:ind w:firstLine="540"/>
        <w:jc w:val="both"/>
      </w:pPr>
      <w:r>
        <w:rPr>
          <w:sz w:val="24"/>
        </w:rPr>
        <w:t xml:space="preserve">1.2. Автоматизированная система оплаты проезда эксплуатируется в целях повышения качества транспортного обслуживания населения и предназначена для безналичной или наличной оплаты проезда в пассажирском транспорте общего пользования муниципального образования - городской округ город Рязань.</w:t>
      </w:r>
    </w:p>
    <w:p>
      <w:pPr>
        <w:pStyle w:val="0"/>
        <w:spacing w:before="240" w:line-rule="auto"/>
        <w:ind w:firstLine="540"/>
        <w:jc w:val="both"/>
      </w:pPr>
      <w:r>
        <w:rPr>
          <w:sz w:val="24"/>
        </w:rPr>
        <w:t xml:space="preserve">1.3. Основные понятия:</w:t>
      </w:r>
    </w:p>
    <w:p>
      <w:pPr>
        <w:pStyle w:val="0"/>
        <w:spacing w:before="240" w:line-rule="auto"/>
        <w:ind w:firstLine="540"/>
        <w:jc w:val="both"/>
      </w:pPr>
      <w:r>
        <w:rPr>
          <w:sz w:val="24"/>
        </w:rPr>
        <w:t xml:space="preserve">- оператор Цифрового сервиса ЕЦК - отобранное уполномоченным органом на конкурсной основе юридическое лицо для создания, ввода в эксплуатацию, функционирования и развития ИС ЕЦК, организации выпуска, выдачи и обслуживания ЕЦК, порядок отбора, права и обязанности которого определены </w:t>
      </w:r>
      <w:hyperlink w:history="0" r:id="rId32" w:tooltip="Постановление Правительства Рязанской области от 25.10.2022 N 380 (ред. от 03.04.2025) &quot;О реализации цифрового сервиса &quot;Единая цифровая карта жителя Рязанской области&quot; (вместе с &quot;Положением об универсальном платежно-сервисном инструменте для населения Рязанской области...&quot;, &quot;Условиями участия кредитной организации в качестве банка-эмитента ЕЦК&quot;, &quot;Положением об операторе цифрового сервиса ЕЦК&quot;) {КонсультантПлюс}">
        <w:r>
          <w:rPr>
            <w:sz w:val="24"/>
            <w:color w:val="0000ff"/>
          </w:rPr>
          <w:t xml:space="preserve">Постановлением</w:t>
        </w:r>
      </w:hyperlink>
      <w:r>
        <w:rPr>
          <w:sz w:val="24"/>
        </w:rPr>
        <w:t xml:space="preserve"> Правительства Рязанской области от 25.10.2022 N 380 "О реализации цифрового сервиса "Единая цифровая карта жителя Рязанской области";</w:t>
      </w:r>
    </w:p>
    <w:p>
      <w:pPr>
        <w:pStyle w:val="0"/>
        <w:spacing w:before="240" w:line-rule="auto"/>
        <w:ind w:firstLine="540"/>
        <w:jc w:val="both"/>
      </w:pPr>
      <w:r>
        <w:rPr>
          <w:sz w:val="24"/>
        </w:rPr>
        <w:t xml:space="preserve">- единая цифровая карта жителя Рязанской области (далее - ЕЦК) - материальный носитель (виртуальный носитель при наличии технической возможности и согласия заявителя), содержащий зафиксированную на нем информацию о держателе ЕЦК, в том числе подтверждающую право держателя ЕЦК на получение мер социальной поддержки (при наличии такого права), обеспечивающий получение мер социальной поддержки (в том числе в денежной форме с согласия держателя ЕЦК на открытый банковский счет в банке-эмитенте ЕЦК), социальных, медицинских, транспортных и иных услуг, участие в программах лояльности с использованием ЕЦК и соответствующий техническим требованиям к ЕЦК, утверждаемым министерством цифрового развития, информационных технологий и связи Рязанской области;</w:t>
      </w:r>
    </w:p>
    <w:p>
      <w:pPr>
        <w:pStyle w:val="0"/>
        <w:spacing w:before="240" w:line-rule="auto"/>
        <w:ind w:firstLine="540"/>
        <w:jc w:val="both"/>
      </w:pPr>
      <w:r>
        <w:rPr>
          <w:sz w:val="24"/>
        </w:rPr>
        <w:t xml:space="preserve">- цифровой сервис "Единая цифровая карта жителя Рязанской области" (далее - Цифровой сервис ЕЦК) - универсальный платежно-сервисный инструмент для населения Рязанской области;</w:t>
      </w:r>
    </w:p>
    <w:p>
      <w:pPr>
        <w:pStyle w:val="0"/>
        <w:spacing w:before="240" w:line-rule="auto"/>
        <w:ind w:firstLine="540"/>
        <w:jc w:val="both"/>
      </w:pPr>
      <w:r>
        <w:rPr>
          <w:sz w:val="24"/>
        </w:rPr>
        <w:t xml:space="preserve">- информационная система ЕЦК (далее - ИС ЕЦК) - автоматизированная информационная система учета предоставления предусмотренных законодательством Рязанской области мер социальной поддержки и дополнительных гарантий по социальной поддержке (далее - меры социальной поддержки), социальных, медицинских, транспортных и иных услуг, участия в программах лояльности с использованием ЕЦК, содержащая сведения, подтверждающие право держателей ЕЦК на получение мер социальной поддержки (при наличии такого права);</w:t>
      </w:r>
    </w:p>
    <w:p>
      <w:pPr>
        <w:pStyle w:val="0"/>
        <w:jc w:val="both"/>
      </w:pPr>
      <w:r>
        <w:rPr>
          <w:sz w:val="24"/>
        </w:rPr>
        <w:t xml:space="preserve">(в ред. </w:t>
      </w:r>
      <w:hyperlink w:history="0" r:id="rId33"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spacing w:before="240" w:line-rule="auto"/>
        <w:ind w:firstLine="540"/>
        <w:jc w:val="both"/>
      </w:pPr>
      <w:r>
        <w:rPr>
          <w:sz w:val="24"/>
        </w:rPr>
        <w:t xml:space="preserve">- Порядок ИС ЕЦК - Порядок (Правила) функционирования ИС ЕЦК, разрабатываемый и утверждаемый Оператором Цифрового сервиса ЕЦК;</w:t>
      </w:r>
    </w:p>
    <w:p>
      <w:pPr>
        <w:pStyle w:val="0"/>
        <w:spacing w:before="240" w:line-rule="auto"/>
        <w:ind w:firstLine="540"/>
        <w:jc w:val="both"/>
      </w:pPr>
      <w:r>
        <w:rPr>
          <w:sz w:val="24"/>
        </w:rPr>
        <w:t xml:space="preserve">- транспортная карта - материальный (при наличии технической возможности - виртуальный) носитель со встроенным чипом и размещенным на нем приложением для записи транспортного ресурса, в том числе удостоверение ветерана боевых действий (далее - удостоверение ВБД) в виде пластиковой идентификационной карты, являющиеся электронным средством оплаты держателем услуг перевозчиков и регистрации проезда держателей в транспорте общего пользования муниципального образования - городской округ город Рязань;</w:t>
      </w:r>
    </w:p>
    <w:p>
      <w:pPr>
        <w:pStyle w:val="0"/>
        <w:jc w:val="both"/>
      </w:pPr>
      <w:r>
        <w:rPr>
          <w:sz w:val="24"/>
        </w:rPr>
        <w:t xml:space="preserve">(в ред. </w:t>
      </w:r>
      <w:hyperlink w:history="0" r:id="rId34"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spacing w:before="240" w:line-rule="auto"/>
        <w:ind w:firstLine="540"/>
        <w:jc w:val="both"/>
      </w:pPr>
      <w:r>
        <w:rPr>
          <w:sz w:val="24"/>
        </w:rPr>
        <w:t xml:space="preserve">- подсистема ИС ЕЦК-АСОП (далее - АСОП) - автоматизированная система оплаты проезда в пассажирском транспорте общего пользования -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транспорте общего пользования с использованием микропроцессорных бесконтактных смарт-карт (иных материальных носителей и технологий), регистрации и оплаты проезда граждан, в том числе наличным способом, с формированием отчетности о количестве поездок каждой из категорий пассажиров;</w:t>
      </w:r>
    </w:p>
    <w:p>
      <w:pPr>
        <w:pStyle w:val="0"/>
        <w:spacing w:before="240" w:line-rule="auto"/>
        <w:ind w:firstLine="540"/>
        <w:jc w:val="both"/>
      </w:pPr>
      <w:r>
        <w:rPr>
          <w:sz w:val="24"/>
        </w:rPr>
        <w:t xml:space="preserve">- транспортное приложение ЕЦК или транспортной карты (далее - транспортное приложение) - приложение, которое обеспечивает предоставление и получение транспортных услуг в ИС ЕЦК;</w:t>
      </w:r>
    </w:p>
    <w:p>
      <w:pPr>
        <w:pStyle w:val="0"/>
        <w:spacing w:before="240" w:line-rule="auto"/>
        <w:ind w:firstLine="540"/>
        <w:jc w:val="both"/>
      </w:pPr>
      <w:r>
        <w:rPr>
          <w:sz w:val="24"/>
        </w:rPr>
        <w:t xml:space="preserve">- ресурс транспортного приложения - записанная в электронном виде в транспортное приложение информация о виде, сроке действия и стоимости тарифа (тарифного плана), количестве оплаченных поездок, сроке действия ЕЦК или транспортной карты и о балансе денежных средств;</w:t>
      </w:r>
    </w:p>
    <w:p>
      <w:pPr>
        <w:pStyle w:val="0"/>
        <w:spacing w:before="240" w:line-rule="auto"/>
        <w:ind w:firstLine="540"/>
        <w:jc w:val="both"/>
      </w:pPr>
      <w:r>
        <w:rPr>
          <w:sz w:val="24"/>
        </w:rPr>
        <w:t xml:space="preserve">- держатель в АСОП (далее - держатель) - физическое лицо, использующее транспортное приложение для регистрации проезда в транспорте или приобретающее разовый билет в транспортном средстве перевозчика путем оплаты стоимости проезда банковской картой или наличными денежными средствами;</w:t>
      </w:r>
    </w:p>
    <w:p>
      <w:pPr>
        <w:pStyle w:val="0"/>
        <w:spacing w:before="240" w:line-rule="auto"/>
        <w:ind w:firstLine="540"/>
        <w:jc w:val="both"/>
      </w:pPr>
      <w:r>
        <w:rPr>
          <w:sz w:val="24"/>
        </w:rPr>
        <w:t xml:space="preserve">- номер транспортной карты (уникальный цифровой идентификационный номер, зарегистрированный в АСОП) - номер материального или виртуального носителя с записанным на нем транспортным приложением и указываемый в документе об оплате;</w:t>
      </w:r>
    </w:p>
    <w:p>
      <w:pPr>
        <w:pStyle w:val="0"/>
        <w:spacing w:before="240" w:line-rule="auto"/>
        <w:ind w:firstLine="540"/>
        <w:jc w:val="both"/>
      </w:pPr>
      <w:r>
        <w:rPr>
          <w:sz w:val="24"/>
        </w:rPr>
        <w:t xml:space="preserve">- транспортные средства - автомобильный и наземный электрический транспорт, осуществляющий регулярные перевозки пассажиров на территории муниципального образования - городской округ город Рязань;</w:t>
      </w:r>
    </w:p>
    <w:p>
      <w:pPr>
        <w:pStyle w:val="0"/>
        <w:spacing w:before="240" w:line-rule="auto"/>
        <w:ind w:firstLine="540"/>
        <w:jc w:val="both"/>
      </w:pPr>
      <w:r>
        <w:rPr>
          <w:sz w:val="24"/>
        </w:rPr>
        <w:t xml:space="preserve">- перевозчик - юридическое лицо или индивидуальный предприниматель, транспортные средства которого осуществляют регулярные перевозки пассажиров на территории муниципального образования - городской округ город Рязань и имеют подключение к АСОП;</w:t>
      </w:r>
    </w:p>
    <w:p>
      <w:pPr>
        <w:pStyle w:val="0"/>
        <w:spacing w:before="240" w:line-rule="auto"/>
        <w:ind w:firstLine="540"/>
        <w:jc w:val="both"/>
      </w:pPr>
      <w:r>
        <w:rPr>
          <w:sz w:val="24"/>
        </w:rPr>
        <w:t xml:space="preserve">- билет - документ установленного образца, являющийся бланком строгой отчетности, удостоверяющий факт оплаты проезда держателем в транспортном средстве перевозчика, сформированный и выданный терминалом оплаты;</w:t>
      </w:r>
    </w:p>
    <w:p>
      <w:pPr>
        <w:pStyle w:val="0"/>
        <w:spacing w:before="240" w:line-rule="auto"/>
        <w:ind w:firstLine="540"/>
        <w:jc w:val="both"/>
      </w:pPr>
      <w:r>
        <w:rPr>
          <w:sz w:val="24"/>
        </w:rPr>
        <w:t xml:space="preserve">- терминал оплаты - специализированное устройство, установленное на борту транспортного средства стационарно (для самостоятельной оплаты услуг пассажиром) или мобильное (находящееся у кондуктора или водителя транспортного средства), предназначенное для проверки ресурса транспортного приложения, регистрации поездок пассажиров и оплаты проезда с помощью ЕЦК, транспортных карт, банковских карт или наличных денежных средств, оснащенное возможностью выдачи билета;</w:t>
      </w:r>
    </w:p>
    <w:p>
      <w:pPr>
        <w:pStyle w:val="0"/>
        <w:spacing w:before="240" w:line-rule="auto"/>
        <w:ind w:firstLine="540"/>
        <w:jc w:val="both"/>
      </w:pPr>
      <w:r>
        <w:rPr>
          <w:sz w:val="24"/>
        </w:rPr>
        <w:t xml:space="preserve">- терминал пополнения транспортного приложения (далее - терминал пополнения) - специализированное устройство для пополнения ресурса транспортного приложения, установленное у кассира или стационарно (для самостоятельного пополнения держателем). Терминал пополнения может быть оснащен устройством моментальной записи ресурса транспортного приложения;</w:t>
      </w:r>
    </w:p>
    <w:p>
      <w:pPr>
        <w:pStyle w:val="0"/>
        <w:spacing w:before="240" w:line-rule="auto"/>
        <w:ind w:firstLine="540"/>
        <w:jc w:val="both"/>
      </w:pPr>
      <w:r>
        <w:rPr>
          <w:sz w:val="24"/>
        </w:rPr>
        <w:t xml:space="preserve">- участники АСОП - индивидуальные предприниматели, юридические и физические лица, взаимодействующие в процессе работы АСОП;</w:t>
      </w:r>
    </w:p>
    <w:p>
      <w:pPr>
        <w:pStyle w:val="0"/>
        <w:spacing w:before="240" w:line-rule="auto"/>
        <w:ind w:firstLine="540"/>
        <w:jc w:val="both"/>
      </w:pPr>
      <w:r>
        <w:rPr>
          <w:sz w:val="24"/>
        </w:rPr>
        <w:t xml:space="preserve">- техническая неисправность транспортной карты - наличие в ней скрытых дефектов (в том числе брак, допущенный при изготовлении материального носителя), которые привели к невозможности ее использования;</w:t>
      </w:r>
    </w:p>
    <w:p>
      <w:pPr>
        <w:pStyle w:val="0"/>
        <w:spacing w:before="240" w:line-rule="auto"/>
        <w:ind w:firstLine="540"/>
        <w:jc w:val="both"/>
      </w:pPr>
      <w:r>
        <w:rPr>
          <w:sz w:val="24"/>
        </w:rPr>
        <w:t xml:space="preserve">- служба информационной поддержки держателей - служба, организованная Оператором Цифрового сервиса ЕЦК, предназначенная для консультирования и оказания помощи держателям;</w:t>
      </w:r>
    </w:p>
    <w:p>
      <w:pPr>
        <w:pStyle w:val="0"/>
        <w:spacing w:before="240" w:line-rule="auto"/>
        <w:ind w:firstLine="540"/>
        <w:jc w:val="both"/>
      </w:pPr>
      <w:r>
        <w:rPr>
          <w:sz w:val="24"/>
        </w:rPr>
        <w:t xml:space="preserve">- удостоверение ВБД - удостоверение ветерана боевых действий в виде пластиковой идентификационной карты, выданной в соответствии с </w:t>
      </w:r>
      <w:hyperlink w:history="0" r:id="rId35" w:tooltip="Постановление Правительства РФ от 19.12.2003 N 763 (ред. от 14.08.2025) &quot;Об удостоверении ветерана боевых действий&quot; (вместе с &quot;Инструкцией о порядке заполнения, выдачи и учета удостоверения ветерана боевых действий, оформляемого на бланке&quot;) {КонсультантПлюс}">
        <w:r>
          <w:rPr>
            <w:sz w:val="24"/>
            <w:color w:val="0000ff"/>
          </w:rPr>
          <w:t xml:space="preserve">постановлением</w:t>
        </w:r>
      </w:hyperlink>
      <w:r>
        <w:rPr>
          <w:sz w:val="24"/>
        </w:rPr>
        <w:t xml:space="preserve"> Правительства РФ от 19.12.2003 N 763 "Об удостоверении ветерана боевых действий".</w:t>
      </w:r>
    </w:p>
    <w:p>
      <w:pPr>
        <w:pStyle w:val="0"/>
        <w:jc w:val="both"/>
      </w:pPr>
      <w:r>
        <w:rPr>
          <w:sz w:val="24"/>
        </w:rPr>
        <w:t xml:space="preserve">(абзац введен </w:t>
      </w:r>
      <w:hyperlink w:history="0" r:id="rId36"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Постановлением</w:t>
        </w:r>
      </w:hyperlink>
      <w:r>
        <w:rPr>
          <w:sz w:val="24"/>
        </w:rPr>
        <w:t xml:space="preserve"> Администрации города Рязани от 29.08.2025 N 8427)</w:t>
      </w:r>
    </w:p>
    <w:p>
      <w:pPr>
        <w:pStyle w:val="0"/>
        <w:spacing w:before="240" w:line-rule="auto"/>
        <w:ind w:firstLine="540"/>
        <w:jc w:val="both"/>
      </w:pPr>
      <w:r>
        <w:rPr>
          <w:sz w:val="24"/>
        </w:rPr>
        <w:t xml:space="preserve">1.4. Иные понятия и термины, используемые в настоящем Положении, применяются в значениях, определенных в </w:t>
      </w:r>
      <w:hyperlink w:history="0" r:id="rId37" w:tooltip="Постановление Правительства Рязанской области от 25.10.2022 N 380 (ред. от 03.04.2025) &quot;О реализации цифрового сервиса &quot;Единая цифровая карта жителя Рязанской области&quot; (вместе с &quot;Положением об универсальном платежно-сервисном инструменте для населения Рязанской области...&quot;, &quot;Условиями участия кредитной организации в качестве банка-эмитента ЕЦК&quot;, &quot;Положением об операторе цифрового сервиса ЕЦК&quot;) {КонсультантПлюс}">
        <w:r>
          <w:rPr>
            <w:sz w:val="24"/>
            <w:color w:val="0000ff"/>
          </w:rPr>
          <w:t xml:space="preserve">Постановлении</w:t>
        </w:r>
      </w:hyperlink>
      <w:r>
        <w:rPr>
          <w:sz w:val="24"/>
        </w:rPr>
        <w:t xml:space="preserve"> Правительства Рязанской области от 25.10.2022 N 380 "О реализации цифрового сервиса "Единая цифровая карта жителя Рязанской области".</w:t>
      </w:r>
    </w:p>
    <w:p>
      <w:pPr>
        <w:pStyle w:val="0"/>
        <w:spacing w:before="240" w:line-rule="auto"/>
        <w:ind w:firstLine="540"/>
        <w:jc w:val="both"/>
      </w:pPr>
      <w:r>
        <w:rPr>
          <w:sz w:val="24"/>
        </w:rPr>
        <w:t xml:space="preserve">1.5. В случае, если оператор Цифрового сервиса ЕЦК отобран органами государственной власти Рязанской области, конкурсный отбор оператора АСОП муниципального образования городской округ - город Рязань не проводится.</w:t>
      </w:r>
    </w:p>
    <w:p>
      <w:pPr>
        <w:pStyle w:val="0"/>
        <w:spacing w:before="240" w:line-rule="auto"/>
        <w:ind w:firstLine="540"/>
        <w:jc w:val="both"/>
      </w:pPr>
      <w:r>
        <w:rPr>
          <w:sz w:val="24"/>
        </w:rPr>
        <w:t xml:space="preserve">Функции (обязанности) оператора АСОП исполняет оператор Цифрового сервиса ЕЦК на основании заключенного с администрацией города Рязани соглашения (договора).</w:t>
      </w:r>
    </w:p>
    <w:p>
      <w:pPr>
        <w:pStyle w:val="0"/>
        <w:jc w:val="both"/>
      </w:pPr>
      <w:r>
        <w:rPr>
          <w:sz w:val="24"/>
        </w:rPr>
      </w:r>
    </w:p>
    <w:p>
      <w:pPr>
        <w:pStyle w:val="2"/>
        <w:outlineLvl w:val="1"/>
        <w:jc w:val="center"/>
      </w:pPr>
      <w:r>
        <w:rPr>
          <w:sz w:val="24"/>
        </w:rPr>
        <w:t xml:space="preserve">2. Права и обязанности участников АСОП</w:t>
      </w:r>
    </w:p>
    <w:p>
      <w:pPr>
        <w:pStyle w:val="0"/>
        <w:jc w:val="both"/>
      </w:pPr>
      <w:r>
        <w:rPr>
          <w:sz w:val="24"/>
        </w:rPr>
      </w:r>
    </w:p>
    <w:p>
      <w:pPr>
        <w:pStyle w:val="0"/>
        <w:ind w:firstLine="540"/>
        <w:jc w:val="both"/>
      </w:pPr>
      <w:r>
        <w:rPr>
          <w:sz w:val="24"/>
        </w:rPr>
        <w:t xml:space="preserve">2.1. Права и обязанности держателя</w:t>
      </w:r>
    </w:p>
    <w:p>
      <w:pPr>
        <w:pStyle w:val="0"/>
        <w:spacing w:before="240" w:line-rule="auto"/>
        <w:ind w:firstLine="540"/>
        <w:jc w:val="both"/>
      </w:pPr>
      <w:r>
        <w:rPr>
          <w:sz w:val="24"/>
        </w:rPr>
        <w:t xml:space="preserve">2.1.1. Держатель имеет право:</w:t>
      </w:r>
    </w:p>
    <w:p>
      <w:pPr>
        <w:pStyle w:val="0"/>
        <w:spacing w:before="240" w:line-rule="auto"/>
        <w:ind w:firstLine="540"/>
        <w:jc w:val="both"/>
      </w:pPr>
      <w:r>
        <w:rPr>
          <w:sz w:val="24"/>
        </w:rPr>
        <w:t xml:space="preserve">- становиться участником АСОП, приобретая (получая) ЕЦК или транспортную карту;</w:t>
      </w:r>
    </w:p>
    <w:p>
      <w:pPr>
        <w:pStyle w:val="0"/>
        <w:spacing w:before="240" w:line-rule="auto"/>
        <w:ind w:firstLine="540"/>
        <w:jc w:val="both"/>
      </w:pPr>
      <w:r>
        <w:rPr>
          <w:sz w:val="24"/>
        </w:rPr>
        <w:t xml:space="preserve">- пополнять ресурс транспортного приложения;</w:t>
      </w:r>
    </w:p>
    <w:p>
      <w:pPr>
        <w:pStyle w:val="0"/>
        <w:spacing w:before="240" w:line-rule="auto"/>
        <w:ind w:firstLine="540"/>
        <w:jc w:val="both"/>
      </w:pPr>
      <w:r>
        <w:rPr>
          <w:sz w:val="24"/>
        </w:rPr>
        <w:t xml:space="preserve">- получать информацию о ресурсе транспортного приложения;</w:t>
      </w:r>
    </w:p>
    <w:p>
      <w:pPr>
        <w:pStyle w:val="0"/>
        <w:spacing w:before="240" w:line-rule="auto"/>
        <w:ind w:firstLine="540"/>
        <w:jc w:val="both"/>
      </w:pPr>
      <w:r>
        <w:rPr>
          <w:sz w:val="24"/>
        </w:rPr>
        <w:t xml:space="preserve">- обращаться к оператору Цифрового сервиса ЕЦК с письменными заявлениями о блокировании транспортной карты в случае ее утраты (утери);</w:t>
      </w:r>
    </w:p>
    <w:p>
      <w:pPr>
        <w:pStyle w:val="0"/>
        <w:spacing w:before="240" w:line-rule="auto"/>
        <w:ind w:firstLine="540"/>
        <w:jc w:val="both"/>
      </w:pPr>
      <w:r>
        <w:rPr>
          <w:sz w:val="24"/>
        </w:rPr>
        <w:t xml:space="preserve">- получить ЕЦК взамен пришедшей в негодность транспортной карты из-за технической неисправности на безвозмездной основе;</w:t>
      </w:r>
    </w:p>
    <w:p>
      <w:pPr>
        <w:pStyle w:val="0"/>
        <w:spacing w:before="240" w:line-rule="auto"/>
        <w:ind w:firstLine="540"/>
        <w:jc w:val="both"/>
      </w:pPr>
      <w:r>
        <w:rPr>
          <w:sz w:val="24"/>
        </w:rPr>
        <w:t xml:space="preserve">- использовать транспортные карты "Студенческая", "Льготная", полученные до 31.12.2023, или транспортную карту "Городская", полученную до 20.05.2024.</w:t>
      </w:r>
    </w:p>
    <w:p>
      <w:pPr>
        <w:pStyle w:val="0"/>
        <w:spacing w:before="240" w:line-rule="auto"/>
        <w:ind w:firstLine="540"/>
        <w:jc w:val="both"/>
      </w:pPr>
      <w:r>
        <w:rPr>
          <w:sz w:val="24"/>
        </w:rPr>
        <w:t xml:space="preserve">2.1.2. Держатель обязан:</w:t>
      </w:r>
    </w:p>
    <w:p>
      <w:pPr>
        <w:pStyle w:val="0"/>
        <w:spacing w:before="240" w:line-rule="auto"/>
        <w:ind w:firstLine="540"/>
        <w:jc w:val="both"/>
      </w:pPr>
      <w:r>
        <w:rPr>
          <w:sz w:val="24"/>
        </w:rPr>
        <w:t xml:space="preserve">а) бережно обращаться с ЕЦК или транспортной картой, а именно:</w:t>
      </w:r>
    </w:p>
    <w:p>
      <w:pPr>
        <w:pStyle w:val="0"/>
        <w:spacing w:before="240" w:line-rule="auto"/>
        <w:ind w:firstLine="540"/>
        <w:jc w:val="both"/>
      </w:pPr>
      <w:r>
        <w:rPr>
          <w:sz w:val="24"/>
        </w:rPr>
        <w:t xml:space="preserve">- не сгибать, не переламывать или иным способом не изменять целостность и форму ЕЦК или транспортной карты, включая все способы воздействия, приводящие к повышенному физическому ее износу;</w:t>
      </w:r>
    </w:p>
    <w:p>
      <w:pPr>
        <w:pStyle w:val="0"/>
        <w:spacing w:before="240" w:line-rule="auto"/>
        <w:ind w:firstLine="540"/>
        <w:jc w:val="both"/>
      </w:pPr>
      <w:r>
        <w:rPr>
          <w:sz w:val="24"/>
        </w:rPr>
        <w:t xml:space="preserve">- не подвергать действию экстремально низких и/или высоких температур, термической и химической обработке, воздействию электромагнитных полей и электрических разрядов, не связанных с технологией распространения и обслуживания ЕЦК или транспортной карты;</w:t>
      </w:r>
    </w:p>
    <w:p>
      <w:pPr>
        <w:pStyle w:val="0"/>
        <w:spacing w:before="240" w:line-rule="auto"/>
        <w:ind w:firstLine="540"/>
        <w:jc w:val="both"/>
      </w:pPr>
      <w:r>
        <w:rPr>
          <w:sz w:val="24"/>
        </w:rPr>
        <w:t xml:space="preserve">- не наносить на ЕЦК или транспортную карту экранирующие материалы, металлосодержащие покрытия, не помещать ее в чехол или другие приспособления, содержащие экранирующие материалы и не позволяющие обеспечить при ее обслуживании взаимодействие с терминалами оплаты и терминалами пополнения;</w:t>
      </w:r>
    </w:p>
    <w:p>
      <w:pPr>
        <w:pStyle w:val="0"/>
        <w:spacing w:before="240" w:line-rule="auto"/>
        <w:ind w:firstLine="540"/>
        <w:jc w:val="both"/>
      </w:pPr>
      <w:r>
        <w:rPr>
          <w:sz w:val="24"/>
        </w:rPr>
        <w:t xml:space="preserve">- не изменять дизайн и внешний вид ЕЦК или транспортной карты;</w:t>
      </w:r>
    </w:p>
    <w:p>
      <w:pPr>
        <w:pStyle w:val="0"/>
        <w:spacing w:before="240" w:line-rule="auto"/>
        <w:ind w:firstLine="540"/>
        <w:jc w:val="both"/>
      </w:pPr>
      <w:r>
        <w:rPr>
          <w:sz w:val="24"/>
        </w:rPr>
        <w:t xml:space="preserve">б) не использовать ЕЦК или транспортную карту не по прямому ее назначению, включая несанкционированное считывание, копирование и модификацию информации, содержащейся на карте, не делать ее копии и дубликаты;</w:t>
      </w:r>
    </w:p>
    <w:p>
      <w:pPr>
        <w:pStyle w:val="0"/>
        <w:spacing w:before="240" w:line-rule="auto"/>
        <w:ind w:firstLine="540"/>
        <w:jc w:val="both"/>
      </w:pPr>
      <w:r>
        <w:rPr>
          <w:sz w:val="24"/>
        </w:rPr>
        <w:t xml:space="preserve">в) не получать ЕЦК и не пополнять ресурс транспортного приложения у не уполномоченных оператором Цифрового сервиса ЕЦК организаций, индивидуальных предпринимателей или физических лиц;</w:t>
      </w:r>
    </w:p>
    <w:p>
      <w:pPr>
        <w:pStyle w:val="0"/>
        <w:spacing w:before="240" w:line-rule="auto"/>
        <w:ind w:firstLine="540"/>
        <w:jc w:val="both"/>
      </w:pPr>
      <w:r>
        <w:rPr>
          <w:sz w:val="24"/>
        </w:rPr>
        <w:t xml:space="preserve">г) при пополнении ресурса транспортного приложения проверять дату и время проведения операции, номер ЕЦК или транспортной карты и срок действия транспортного приложения, указанные в документе об оплате, выдаваемом терминалом пополнения;</w:t>
      </w:r>
    </w:p>
    <w:p>
      <w:pPr>
        <w:pStyle w:val="0"/>
        <w:spacing w:before="240" w:line-rule="auto"/>
        <w:ind w:firstLine="540"/>
        <w:jc w:val="both"/>
      </w:pPr>
      <w:r>
        <w:rPr>
          <w:sz w:val="24"/>
        </w:rPr>
        <w:t xml:space="preserve">д) сохранять документ об оплате, выданный терминалом пополнения, подтверждающий успешное проведение операции по пополнению ресурса транспортного приложения;</w:t>
      </w:r>
    </w:p>
    <w:p>
      <w:pPr>
        <w:pStyle w:val="0"/>
        <w:spacing w:before="240" w:line-rule="auto"/>
        <w:ind w:firstLine="540"/>
        <w:jc w:val="both"/>
      </w:pPr>
      <w:r>
        <w:rPr>
          <w:sz w:val="24"/>
        </w:rPr>
        <w:t xml:space="preserve">е) не передавать ЕЦК или транспортные карты, указанные в </w:t>
      </w:r>
      <w:hyperlink w:history="0" w:anchor="P145" w:tooltip="3.1.1. Транспортная карта &quot;Школьная&quot;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
        <w:r>
          <w:rPr>
            <w:sz w:val="24"/>
            <w:color w:val="0000ff"/>
          </w:rPr>
          <w:t xml:space="preserve">подпунктах 3.1.1</w:t>
        </w:r>
      </w:hyperlink>
      <w:r>
        <w:rPr>
          <w:sz w:val="24"/>
        </w:rPr>
        <w:t xml:space="preserve"> - </w:t>
      </w:r>
      <w:hyperlink w:history="0" w:anchor="P150" w:tooltip="3.1.3. Транспортная карта &quot;Льготная&quot;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
        <w:r>
          <w:rPr>
            <w:sz w:val="24"/>
            <w:color w:val="0000ff"/>
          </w:rPr>
          <w:t xml:space="preserve">3.1.3 пункта 3.1</w:t>
        </w:r>
      </w:hyperlink>
      <w:r>
        <w:rPr>
          <w:sz w:val="24"/>
        </w:rPr>
        <w:t xml:space="preserve"> Положения, для оплаты проезда другого лица;</w:t>
      </w:r>
    </w:p>
    <w:p>
      <w:pPr>
        <w:pStyle w:val="0"/>
        <w:spacing w:before="240" w:line-rule="auto"/>
        <w:ind w:firstLine="540"/>
        <w:jc w:val="both"/>
      </w:pPr>
      <w:r>
        <w:rPr>
          <w:sz w:val="24"/>
        </w:rPr>
        <w:t xml:space="preserve">ж) оплатить проезд в транспортном средстве с помощью ЕЦК или транспортной карты до следующей после посадки остановки;</w:t>
      </w:r>
    </w:p>
    <w:p>
      <w:pPr>
        <w:pStyle w:val="0"/>
        <w:spacing w:before="240" w:line-rule="auto"/>
        <w:ind w:firstLine="540"/>
        <w:jc w:val="both"/>
      </w:pPr>
      <w:r>
        <w:rPr>
          <w:sz w:val="24"/>
        </w:rPr>
        <w:t xml:space="preserve">з) оплатить проезд в транспортном средстве по установленному тарифу на 1 (одну) поездку наличными денежными средствами или банковской картой на общих основаниях в случае не пополненного в установленном порядке ресурса транспортного приложения;</w:t>
      </w:r>
    </w:p>
    <w:p>
      <w:pPr>
        <w:pStyle w:val="0"/>
        <w:spacing w:before="240" w:line-rule="auto"/>
        <w:ind w:firstLine="540"/>
        <w:jc w:val="both"/>
      </w:pPr>
      <w:r>
        <w:rPr>
          <w:sz w:val="24"/>
        </w:rPr>
        <w:t xml:space="preserve">и) сохранять билет, выданный терминалом оплаты, до конца поездки в транспортном средстве перевозчика.</w:t>
      </w:r>
    </w:p>
    <w:p>
      <w:pPr>
        <w:pStyle w:val="0"/>
        <w:spacing w:before="240" w:line-rule="auto"/>
        <w:ind w:firstLine="540"/>
        <w:jc w:val="both"/>
      </w:pPr>
      <w:r>
        <w:rPr>
          <w:sz w:val="24"/>
        </w:rPr>
        <w:t xml:space="preserve">2.2. Права и обязанности оператора Цифрового сервиса ЕЦК</w:t>
      </w:r>
    </w:p>
    <w:p>
      <w:pPr>
        <w:pStyle w:val="0"/>
        <w:spacing w:before="240" w:line-rule="auto"/>
        <w:ind w:firstLine="540"/>
        <w:jc w:val="both"/>
      </w:pPr>
      <w:r>
        <w:rPr>
          <w:sz w:val="24"/>
        </w:rPr>
        <w:t xml:space="preserve">2.2.1. Оператор Цифрового сервиса ЕЦК имеет право:</w:t>
      </w:r>
    </w:p>
    <w:p>
      <w:pPr>
        <w:pStyle w:val="0"/>
        <w:spacing w:before="240" w:line-rule="auto"/>
        <w:ind w:firstLine="540"/>
        <w:jc w:val="both"/>
      </w:pPr>
      <w:r>
        <w:rPr>
          <w:sz w:val="24"/>
        </w:rPr>
        <w:t xml:space="preserve">- получать информацию от участников АСОП для выполнения своих функций;</w:t>
      </w:r>
    </w:p>
    <w:p>
      <w:pPr>
        <w:pStyle w:val="0"/>
        <w:spacing w:before="240" w:line-rule="auto"/>
        <w:ind w:firstLine="540"/>
        <w:jc w:val="both"/>
      </w:pPr>
      <w:r>
        <w:rPr>
          <w:sz w:val="24"/>
        </w:rPr>
        <w:t xml:space="preserve">- развивать АСОП в части ее функционального наполнения и расширения числа ее участников;</w:t>
      </w:r>
    </w:p>
    <w:p>
      <w:pPr>
        <w:pStyle w:val="0"/>
        <w:spacing w:before="240" w:line-rule="auto"/>
        <w:ind w:firstLine="540"/>
        <w:jc w:val="both"/>
      </w:pPr>
      <w:r>
        <w:rPr>
          <w:sz w:val="24"/>
        </w:rPr>
        <w:t xml:space="preserve">- блокировать транспортное приложение или транспортную карту в порядке и случаях, предусмотренных Порядком ИС ЕЦК;</w:t>
      </w:r>
    </w:p>
    <w:p>
      <w:pPr>
        <w:pStyle w:val="0"/>
        <w:spacing w:before="240" w:line-rule="auto"/>
        <w:ind w:firstLine="540"/>
        <w:jc w:val="both"/>
      </w:pPr>
      <w:r>
        <w:rPr>
          <w:sz w:val="24"/>
        </w:rPr>
        <w:t xml:space="preserve">- осуществлять контроль за соблюдением участниками АСОП Порядка ИС ЕЦК;</w:t>
      </w:r>
    </w:p>
    <w:p>
      <w:pPr>
        <w:pStyle w:val="0"/>
        <w:spacing w:before="240" w:line-rule="auto"/>
        <w:ind w:firstLine="540"/>
        <w:jc w:val="both"/>
      </w:pPr>
      <w:r>
        <w:rPr>
          <w:sz w:val="24"/>
        </w:rPr>
        <w:t xml:space="preserve">- осуществлять выпуск неперсонализированных материальных (виртуальных, при наличии технической возможности) носителей транспортных карт, при использовании которых гражданину не предоставляется мера социальной поддержки по льготной оплате проезда в соответствии с Порядком ИС ЕЦК;</w:t>
      </w:r>
    </w:p>
    <w:p>
      <w:pPr>
        <w:pStyle w:val="0"/>
        <w:spacing w:before="240" w:line-rule="auto"/>
        <w:ind w:firstLine="540"/>
        <w:jc w:val="both"/>
      </w:pPr>
      <w:r>
        <w:rPr>
          <w:sz w:val="24"/>
        </w:rPr>
        <w:t xml:space="preserve">- осуществлять иные права, предусмотренные </w:t>
      </w:r>
      <w:hyperlink w:history="0" r:id="rId38" w:tooltip="Постановление Правительства Рязанской области от 25.10.2022 N 380 (ред. от 03.04.2025) &quot;О реализации цифрового сервиса &quot;Единая цифровая карта жителя Рязанской области&quot; (вместе с &quot;Положением об универсальном платежно-сервисном инструменте для населения Рязанской области...&quot;, &quot;Условиями участия кредитной организации в качестве банка-эмитента ЕЦК&quot;, &quot;Положением об операторе цифрового сервиса ЕЦК&quot;) {КонсультантПлюс}">
        <w:r>
          <w:rPr>
            <w:sz w:val="24"/>
            <w:color w:val="0000ff"/>
          </w:rPr>
          <w:t xml:space="preserve">Постановлением</w:t>
        </w:r>
      </w:hyperlink>
      <w:r>
        <w:rPr>
          <w:sz w:val="24"/>
        </w:rPr>
        <w:t xml:space="preserve"> Правительства Рязанской области от 25.10.2022 N 380 "О реализации цифрового сервиса "Единая цифровая карта жителя Рязанской области", Порядком ИС ЕЦК.</w:t>
      </w:r>
    </w:p>
    <w:p>
      <w:pPr>
        <w:pStyle w:val="0"/>
        <w:spacing w:before="240" w:line-rule="auto"/>
        <w:ind w:firstLine="540"/>
        <w:jc w:val="both"/>
      </w:pPr>
      <w:r>
        <w:rPr>
          <w:sz w:val="24"/>
        </w:rPr>
        <w:t xml:space="preserve">2.2.2. Оператор Цифрового сервиса ЕЦК обязан:</w:t>
      </w:r>
    </w:p>
    <w:p>
      <w:pPr>
        <w:pStyle w:val="0"/>
        <w:spacing w:before="240" w:line-rule="auto"/>
        <w:ind w:firstLine="540"/>
        <w:jc w:val="both"/>
      </w:pPr>
      <w:r>
        <w:rPr>
          <w:sz w:val="24"/>
        </w:rPr>
        <w:t xml:space="preserve">- разрабатывать и утверждать Порядок ИС ЕЦК и внутренние документы АСОП;</w:t>
      </w:r>
    </w:p>
    <w:p>
      <w:pPr>
        <w:pStyle w:val="0"/>
        <w:spacing w:before="240" w:line-rule="auto"/>
        <w:ind w:firstLine="540"/>
        <w:jc w:val="both"/>
      </w:pPr>
      <w:r>
        <w:rPr>
          <w:sz w:val="24"/>
        </w:rPr>
        <w:t xml:space="preserve">- обеспечивать информационное и технологическое взаимодействие участников АСОП, определять объем их взаимных финансовых обязательств в порядке и на условиях, установленных Порядком ИС ЕЦК;</w:t>
      </w:r>
    </w:p>
    <w:p>
      <w:pPr>
        <w:pStyle w:val="0"/>
        <w:spacing w:before="240" w:line-rule="auto"/>
        <w:ind w:firstLine="540"/>
        <w:jc w:val="both"/>
      </w:pPr>
      <w:r>
        <w:rPr>
          <w:sz w:val="24"/>
        </w:rPr>
        <w:t xml:space="preserve">- осуществлять организационные и координационные функции в АСОП;</w:t>
      </w:r>
    </w:p>
    <w:p>
      <w:pPr>
        <w:pStyle w:val="0"/>
        <w:spacing w:before="240" w:line-rule="auto"/>
        <w:ind w:firstLine="540"/>
        <w:jc w:val="both"/>
      </w:pPr>
      <w:r>
        <w:rPr>
          <w:sz w:val="24"/>
        </w:rPr>
        <w:t xml:space="preserve">- организовывать обслуживание в АСОП каждого держателя, изъявившего желание пользоваться ЕЦК или транспортной картой;</w:t>
      </w:r>
    </w:p>
    <w:p>
      <w:pPr>
        <w:pStyle w:val="0"/>
        <w:spacing w:before="240" w:line-rule="auto"/>
        <w:ind w:firstLine="540"/>
        <w:jc w:val="both"/>
      </w:pPr>
      <w:r>
        <w:rPr>
          <w:sz w:val="24"/>
        </w:rPr>
        <w:t xml:space="preserve">- организовать службу информационной поддержки держателей ЕЦК и транспортных карт;</w:t>
      </w:r>
    </w:p>
    <w:p>
      <w:pPr>
        <w:pStyle w:val="0"/>
        <w:spacing w:before="240" w:line-rule="auto"/>
        <w:ind w:firstLine="540"/>
        <w:jc w:val="both"/>
      </w:pPr>
      <w:r>
        <w:rPr>
          <w:sz w:val="24"/>
        </w:rPr>
        <w:t xml:space="preserve">- заключить соглашение о присоединении к АСОП с любым обратившимся перевозчиком, осуществляющим регулярные пассажирские перевозки на территории муниципального образования - городской округ город Рязань;</w:t>
      </w:r>
    </w:p>
    <w:p>
      <w:pPr>
        <w:pStyle w:val="0"/>
        <w:spacing w:before="240" w:line-rule="auto"/>
        <w:ind w:firstLine="540"/>
        <w:jc w:val="both"/>
      </w:pPr>
      <w:r>
        <w:rPr>
          <w:sz w:val="24"/>
        </w:rPr>
        <w:t xml:space="preserve">- обеспечивать проведение информационно-технологического обслуживания терминалов оплаты перевозчиков, а также обеспечивать администрирование аппаратно-программного комплекса и оборудования АСОП и устранение обнаруженных нарушений в их работе на основании заключенных с участниками АСОП соглашений;</w:t>
      </w:r>
    </w:p>
    <w:p>
      <w:pPr>
        <w:pStyle w:val="0"/>
        <w:spacing w:before="240" w:line-rule="auto"/>
        <w:ind w:firstLine="540"/>
        <w:jc w:val="both"/>
      </w:pPr>
      <w:r>
        <w:rPr>
          <w:sz w:val="24"/>
        </w:rPr>
        <w:t xml:space="preserve">- организовывать информирование держателей по вопросам, касающимся работы АСОП, в том числе по использованию ЕЦК или транспортных карт в АСОП, а также по вопросам приема и обработки претензий держателей (способов подачи претензий и порядка их рассмотрения);</w:t>
      </w:r>
    </w:p>
    <w:p>
      <w:pPr>
        <w:pStyle w:val="0"/>
        <w:spacing w:before="240" w:line-rule="auto"/>
        <w:ind w:firstLine="540"/>
        <w:jc w:val="both"/>
      </w:pPr>
      <w:r>
        <w:rPr>
          <w:sz w:val="24"/>
        </w:rPr>
        <w:t xml:space="preserve">- обеспечивать своевременность, правильность и полноту введения в АСОП информации, полученной при идентификации ЕЦК и транспортных карт, а также при приеме денежных средств от держателей при пополнении ресурса транспортного приложения;</w:t>
      </w:r>
    </w:p>
    <w:p>
      <w:pPr>
        <w:pStyle w:val="0"/>
        <w:spacing w:before="240" w:line-rule="auto"/>
        <w:ind w:firstLine="540"/>
        <w:jc w:val="both"/>
      </w:pPr>
      <w:r>
        <w:rPr>
          <w:sz w:val="24"/>
        </w:rPr>
        <w:t xml:space="preserve">- обеспечить автоматизированную обработку данных учета проезда держателей с использованием ЕЦК или транспортных карт;</w:t>
      </w:r>
    </w:p>
    <w:p>
      <w:pPr>
        <w:pStyle w:val="0"/>
        <w:spacing w:before="240" w:line-rule="auto"/>
        <w:ind w:firstLine="540"/>
        <w:jc w:val="both"/>
      </w:pPr>
      <w:r>
        <w:rPr>
          <w:sz w:val="24"/>
        </w:rPr>
        <w:t xml:space="preserve">- информировать держателей об изменении тарифов на услуги;</w:t>
      </w:r>
    </w:p>
    <w:p>
      <w:pPr>
        <w:pStyle w:val="0"/>
        <w:spacing w:before="240" w:line-rule="auto"/>
        <w:ind w:firstLine="540"/>
        <w:jc w:val="both"/>
      </w:pPr>
      <w:r>
        <w:rPr>
          <w:sz w:val="24"/>
        </w:rPr>
        <w:t xml:space="preserve">- осуществлять перенос ресурса транспортного приложения за оплаченный календарный месяц на вновь выданную ЕЦК или транспортную карту в порядке, предусмотренном настоящим Положением;</w:t>
      </w:r>
    </w:p>
    <w:p>
      <w:pPr>
        <w:pStyle w:val="0"/>
        <w:spacing w:before="240" w:line-rule="auto"/>
        <w:ind w:firstLine="540"/>
        <w:jc w:val="both"/>
      </w:pPr>
      <w:r>
        <w:rPr>
          <w:sz w:val="24"/>
        </w:rPr>
        <w:t xml:space="preserve">- обеспечивать подключение (авторизацию) для работы в АСОП терминалов оплаты и терминалов пополнения участников АСОП;</w:t>
      </w:r>
    </w:p>
    <w:p>
      <w:pPr>
        <w:pStyle w:val="0"/>
        <w:spacing w:before="240" w:line-rule="auto"/>
        <w:ind w:firstLine="540"/>
        <w:jc w:val="both"/>
      </w:pPr>
      <w:r>
        <w:rPr>
          <w:sz w:val="24"/>
        </w:rPr>
        <w:t xml:space="preserve">- осуществлять иные обязанности, предусмотренные </w:t>
      </w:r>
      <w:hyperlink w:history="0" r:id="rId39" w:tooltip="Постановление Правительства Рязанской области от 25.10.2022 N 380 (ред. от 03.04.2025) &quot;О реализации цифрового сервиса &quot;Единая цифровая карта жителя Рязанской области&quot; (вместе с &quot;Положением об универсальном платежно-сервисном инструменте для населения Рязанской области...&quot;, &quot;Условиями участия кредитной организации в качестве банка-эмитента ЕЦК&quot;, &quot;Положением об операторе цифрового сервиса ЕЦК&quot;) {КонсультантПлюс}">
        <w:r>
          <w:rPr>
            <w:sz w:val="24"/>
            <w:color w:val="0000ff"/>
          </w:rPr>
          <w:t xml:space="preserve">Постановлением</w:t>
        </w:r>
      </w:hyperlink>
      <w:r>
        <w:rPr>
          <w:sz w:val="24"/>
        </w:rPr>
        <w:t xml:space="preserve"> Правительства Рязанской области от 25.10.2022 N 380 "О реализации цифрового сервиса "Единая цифровая карта жителя Рязанской области", Порядком ИС ЕЦК.</w:t>
      </w:r>
    </w:p>
    <w:p>
      <w:pPr>
        <w:pStyle w:val="0"/>
        <w:spacing w:before="240" w:line-rule="auto"/>
        <w:ind w:firstLine="540"/>
        <w:jc w:val="both"/>
      </w:pPr>
      <w:r>
        <w:rPr>
          <w:sz w:val="24"/>
        </w:rPr>
        <w:t xml:space="preserve">2.3. Права и обязанности перевозчика</w:t>
      </w:r>
    </w:p>
    <w:p>
      <w:pPr>
        <w:pStyle w:val="0"/>
        <w:spacing w:before="240" w:line-rule="auto"/>
        <w:ind w:firstLine="540"/>
        <w:jc w:val="both"/>
      </w:pPr>
      <w:r>
        <w:rPr>
          <w:sz w:val="24"/>
        </w:rPr>
        <w:t xml:space="preserve">2.3.1. Перевозчик имеет право:</w:t>
      </w:r>
    </w:p>
    <w:p>
      <w:pPr>
        <w:pStyle w:val="0"/>
        <w:spacing w:before="240" w:line-rule="auto"/>
        <w:ind w:firstLine="540"/>
        <w:jc w:val="both"/>
      </w:pPr>
      <w:r>
        <w:rPr>
          <w:sz w:val="24"/>
        </w:rPr>
        <w:t xml:space="preserve">- осуществлять в принадлежащих ему транспортных средствах контроль за оплатой держателями проезда;</w:t>
      </w:r>
    </w:p>
    <w:p>
      <w:pPr>
        <w:pStyle w:val="0"/>
        <w:spacing w:before="240" w:line-rule="auto"/>
        <w:ind w:firstLine="540"/>
        <w:jc w:val="both"/>
      </w:pPr>
      <w:r>
        <w:rPr>
          <w:sz w:val="24"/>
        </w:rPr>
        <w:t xml:space="preserve">2.3.2. Перевозчик обязан:</w:t>
      </w:r>
    </w:p>
    <w:p>
      <w:pPr>
        <w:pStyle w:val="0"/>
        <w:spacing w:before="240" w:line-rule="auto"/>
        <w:ind w:firstLine="540"/>
        <w:jc w:val="both"/>
      </w:pPr>
      <w:r>
        <w:rPr>
          <w:sz w:val="24"/>
        </w:rPr>
        <w:t xml:space="preserve">- принять необходимые меры к недопущению вмешательства и свободного доступа работников перевозчика и третьих лиц в работу АСОП, которой оборудованы транспортные средства, для иных целей, кроме осуществления оплаты проезда;</w:t>
      </w:r>
    </w:p>
    <w:p>
      <w:pPr>
        <w:pStyle w:val="0"/>
        <w:spacing w:before="240" w:line-rule="auto"/>
        <w:ind w:firstLine="540"/>
        <w:jc w:val="both"/>
      </w:pPr>
      <w:r>
        <w:rPr>
          <w:sz w:val="24"/>
        </w:rPr>
        <w:t xml:space="preserve">- размещать в транспортных средствах на безвозмездной основе необходимую держателям информацию об АСОП;</w:t>
      </w:r>
    </w:p>
    <w:p>
      <w:pPr>
        <w:pStyle w:val="0"/>
        <w:spacing w:before="240" w:line-rule="auto"/>
        <w:ind w:firstLine="540"/>
        <w:jc w:val="both"/>
      </w:pPr>
      <w:r>
        <w:rPr>
          <w:sz w:val="24"/>
        </w:rPr>
        <w:t xml:space="preserve">- пресекать случаи нефиксации кондуктором (водителем) транспортного средства оплаты проезда держателем;</w:t>
      </w:r>
    </w:p>
    <w:p>
      <w:pPr>
        <w:pStyle w:val="0"/>
        <w:spacing w:before="240" w:line-rule="auto"/>
        <w:ind w:firstLine="540"/>
        <w:jc w:val="both"/>
      </w:pPr>
      <w:r>
        <w:rPr>
          <w:sz w:val="24"/>
        </w:rPr>
        <w:t xml:space="preserve">- пресекать случаи выключения, блокировки, порчи оборудования АСОП работниками перевозчика и третьими лицами, с сообщением о таком происшествии оператору Цифрового сервиса ЕЦК в течение 2 (двух) часов с момента пресечения таких действий, в порядке, предусмотренном соглашением, заключенным с оператором Цифрового сервиса ЕЦК;</w:t>
      </w:r>
    </w:p>
    <w:p>
      <w:pPr>
        <w:pStyle w:val="0"/>
        <w:spacing w:before="240" w:line-rule="auto"/>
        <w:ind w:firstLine="540"/>
        <w:jc w:val="both"/>
      </w:pPr>
      <w:r>
        <w:rPr>
          <w:sz w:val="24"/>
        </w:rPr>
        <w:t xml:space="preserve">- обеспечить держателю возможность при входе в транспортное средство с помощью ЕЦК, транспортной карты, банковской карты или наличными денежными средствами зарегистрировать и оплатить свой проезд через терминал оплаты с выдачей билета;</w:t>
      </w:r>
    </w:p>
    <w:p>
      <w:pPr>
        <w:pStyle w:val="0"/>
        <w:spacing w:before="240" w:line-rule="auto"/>
        <w:ind w:firstLine="540"/>
        <w:jc w:val="both"/>
      </w:pPr>
      <w:r>
        <w:rPr>
          <w:sz w:val="24"/>
        </w:rPr>
        <w:t xml:space="preserve">- информировать держателя о необходимости сохранения билета до окончания поездки в одном направлении по маршруту;</w:t>
      </w:r>
    </w:p>
    <w:p>
      <w:pPr>
        <w:pStyle w:val="0"/>
        <w:spacing w:before="240" w:line-rule="auto"/>
        <w:ind w:firstLine="540"/>
        <w:jc w:val="both"/>
      </w:pPr>
      <w:r>
        <w:rPr>
          <w:sz w:val="24"/>
        </w:rPr>
        <w:t xml:space="preserve">- осуществить перевозку пассажира на безвозмездной основе в случае невозможности оплаты проезда с помощью ЕЦК, транспортной карты или банковской карты из-за неисправности терминала оплаты;</w:t>
      </w:r>
    </w:p>
    <w:p>
      <w:pPr>
        <w:pStyle w:val="0"/>
        <w:spacing w:before="240" w:line-rule="auto"/>
        <w:ind w:firstLine="540"/>
        <w:jc w:val="both"/>
      </w:pPr>
      <w:r>
        <w:rPr>
          <w:sz w:val="24"/>
        </w:rPr>
        <w:t xml:space="preserve">- осуществить перевозку пассажира на безвозмездной основе в случае невозможности оплаты проезда с помощью ЕЦК или транспортных карт, указанных в </w:t>
      </w:r>
      <w:hyperlink w:history="0" w:anchor="P145" w:tooltip="3.1.1. Транспортная карта &quot;Школьная&quot;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
        <w:r>
          <w:rPr>
            <w:sz w:val="24"/>
            <w:color w:val="0000ff"/>
          </w:rPr>
          <w:t xml:space="preserve">подпунктах 3.1.1</w:t>
        </w:r>
      </w:hyperlink>
      <w:r>
        <w:rPr>
          <w:sz w:val="24"/>
        </w:rPr>
        <w:t xml:space="preserve"> - </w:t>
      </w:r>
      <w:hyperlink w:history="0" w:anchor="P150" w:tooltip="3.1.3. Транспортная карта &quot;Льготная&quot;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
        <w:r>
          <w:rPr>
            <w:sz w:val="24"/>
            <w:color w:val="0000ff"/>
          </w:rPr>
          <w:t xml:space="preserve">3.1.3 пункта 3.1</w:t>
        </w:r>
      </w:hyperlink>
      <w:r>
        <w:rPr>
          <w:sz w:val="24"/>
        </w:rPr>
        <w:t xml:space="preserve"> Положения, из-за ее неисправности при условии предъявления держателем документа об оплате, подтверждающего факт пополнения ресурса транспортного приложения на текущий месяц в соответствии с утвержденным тарифом.</w:t>
      </w:r>
    </w:p>
    <w:p>
      <w:pPr>
        <w:pStyle w:val="0"/>
        <w:jc w:val="both"/>
      </w:pPr>
      <w:r>
        <w:rPr>
          <w:sz w:val="24"/>
        </w:rPr>
      </w:r>
    </w:p>
    <w:p>
      <w:pPr>
        <w:pStyle w:val="2"/>
        <w:outlineLvl w:val="1"/>
        <w:jc w:val="center"/>
      </w:pPr>
      <w:r>
        <w:rPr>
          <w:sz w:val="24"/>
        </w:rPr>
        <w:t xml:space="preserve">3. Транспортные карты, ЕЦК</w:t>
      </w:r>
    </w:p>
    <w:p>
      <w:pPr>
        <w:pStyle w:val="0"/>
        <w:jc w:val="both"/>
      </w:pPr>
      <w:r>
        <w:rPr>
          <w:sz w:val="24"/>
        </w:rPr>
      </w:r>
    </w:p>
    <w:p>
      <w:pPr>
        <w:pStyle w:val="0"/>
        <w:ind w:firstLine="540"/>
        <w:jc w:val="both"/>
      </w:pPr>
      <w:r>
        <w:rPr>
          <w:sz w:val="24"/>
        </w:rPr>
        <w:t xml:space="preserve">3.1. Виды транспортных карт</w:t>
      </w:r>
    </w:p>
    <w:bookmarkStart w:id="145" w:name="P145"/>
    <w:bookmarkEnd w:id="145"/>
    <w:p>
      <w:pPr>
        <w:pStyle w:val="0"/>
        <w:spacing w:before="240" w:line-rule="auto"/>
        <w:ind w:firstLine="540"/>
        <w:jc w:val="both"/>
      </w:pPr>
      <w:r>
        <w:rPr>
          <w:sz w:val="24"/>
        </w:rPr>
        <w:t xml:space="preserve">3.1.1. Транспортная карта "Школьная"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используется бесконтактная смарт-карта (далее - БСК), на лицевой стороне которой имеется надпись "Школьная", фамилия и имя держателя, а на оборотной - номер транспортной карты.</w:t>
      </w:r>
    </w:p>
    <w:p>
      <w:pPr>
        <w:pStyle w:val="0"/>
        <w:spacing w:before="240" w:line-rule="auto"/>
        <w:ind w:firstLine="540"/>
        <w:jc w:val="both"/>
      </w:pPr>
      <w:r>
        <w:rPr>
          <w:sz w:val="24"/>
        </w:rPr>
        <w:t xml:space="preserve">Порядок получения транспортной карты "Школьная" установлен </w:t>
      </w:r>
      <w:hyperlink w:history="0" r:id="rId40" w:tooltip="Постановление Администрации города Рязани от 25.04.2018 N 1614 (ред. от 09.04.2024) &quot;Об утверждении Порядка предоставления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Постановлением</w:t>
        </w:r>
      </w:hyperlink>
      <w:r>
        <w:rPr>
          <w:sz w:val="24"/>
        </w:rPr>
        <w:t xml:space="preserve"> администрации города Рязани от 25.04.2018 N 1614 "Об утверждении Порядка предоставления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jc w:val="both"/>
      </w:pPr>
      <w:r>
        <w:rPr>
          <w:sz w:val="24"/>
        </w:rPr>
        <w:t xml:space="preserve">(в ред. </w:t>
      </w:r>
      <w:hyperlink w:history="0" r:id="rId41"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spacing w:before="240" w:line-rule="auto"/>
        <w:ind w:firstLine="540"/>
        <w:jc w:val="both"/>
      </w:pPr>
      <w:r>
        <w:rPr>
          <w:sz w:val="24"/>
        </w:rPr>
        <w:t xml:space="preserve">3.1.2. Транспортная карта "Студенческая"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w:t>
      </w:r>
    </w:p>
    <w:p>
      <w:pPr>
        <w:pStyle w:val="0"/>
        <w:spacing w:before="240" w:line-rule="auto"/>
        <w:ind w:firstLine="540"/>
        <w:jc w:val="both"/>
      </w:pPr>
      <w:r>
        <w:rPr>
          <w:sz w:val="24"/>
        </w:rPr>
        <w:t xml:space="preserve">В качестве персонализированного материального носителя используется бесконтактная смарт-карта (далее - БСК), на лицевой стороне которой имеется надпись "Студенческая", фамилия и имя пользователя, а на оборотной - номер транспортной карты;</w:t>
      </w:r>
    </w:p>
    <w:bookmarkStart w:id="150" w:name="P150"/>
    <w:bookmarkEnd w:id="150"/>
    <w:p>
      <w:pPr>
        <w:pStyle w:val="0"/>
        <w:spacing w:before="240" w:line-rule="auto"/>
        <w:ind w:firstLine="540"/>
        <w:jc w:val="both"/>
      </w:pPr>
      <w:r>
        <w:rPr>
          <w:sz w:val="24"/>
        </w:rPr>
        <w:t xml:space="preserve">3.1.3. Транспортная карта "Льготная"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w:t>
      </w:r>
    </w:p>
    <w:p>
      <w:pPr>
        <w:pStyle w:val="0"/>
        <w:spacing w:before="240" w:line-rule="auto"/>
        <w:ind w:firstLine="540"/>
        <w:jc w:val="both"/>
      </w:pPr>
      <w:r>
        <w:rPr>
          <w:sz w:val="24"/>
        </w:rPr>
        <w:t xml:space="preserve">В качестве персонализированного материального носителя используется БСК, на лицевой стороне которой имеется надпись "Льготная", фамилия, имя, отчество держателя, его фотографическое изображение и дата изготовления транспортной карты, а на оборотной - номер транспортной карты.</w:t>
      </w:r>
    </w:p>
    <w:p>
      <w:pPr>
        <w:pStyle w:val="0"/>
        <w:spacing w:before="240" w:line-rule="auto"/>
        <w:ind w:firstLine="540"/>
        <w:jc w:val="both"/>
      </w:pPr>
      <w:r>
        <w:rPr>
          <w:sz w:val="24"/>
        </w:rPr>
        <w:t xml:space="preserve">Работоспособность транспортной карты "Льготная" ограничивается сроком действия льготы. В случае утраты гражданином права на меры социальной поддержки по оплате проезда оператором Цифрового сервиса ЕЦК блокируется пополнение ресурса транспортного приложения в срок до наступления периода пополнения ресурса транспортного приложения на соответствующий месяц.</w:t>
      </w:r>
    </w:p>
    <w:p>
      <w:pPr>
        <w:pStyle w:val="0"/>
        <w:jc w:val="both"/>
      </w:pPr>
      <w:r>
        <w:rPr>
          <w:sz w:val="24"/>
        </w:rPr>
        <w:t xml:space="preserve">(в ред. </w:t>
      </w:r>
      <w:hyperlink w:history="0" r:id="rId42" w:tooltip="Постановление Администрации города Рязани от 09.07.2024 N 8517 &quot;О внесении изменения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09.07.2024 N 8517)</w:t>
      </w:r>
    </w:p>
    <w:p>
      <w:pPr>
        <w:pStyle w:val="0"/>
        <w:spacing w:before="240" w:line-rule="auto"/>
        <w:ind w:firstLine="540"/>
        <w:jc w:val="both"/>
      </w:pPr>
      <w:r>
        <w:rPr>
          <w:sz w:val="24"/>
        </w:rPr>
        <w:t xml:space="preserve">При вновь возникшем у гражданина праве на меры социальной поддержки по оплате проезда (по иному льготному основанию или в случае необходимости продления срока действия существующей льготы) транспортная карта "Льготная" переводится оператором Цифрового сервиса ЕЦК в активное состояние путем разблокирования для дальнейшего использования на период действия льготы. Передача сведений оператору Цифрового сервиса ЕЦК о сроке действия льготы осуществляется уполномоченным структурным подразделением администрации города Рязани в течение 1 (одного) рабочего дня, следующего за днем поступления сведений, полученных путем межведомственного информационного взаимодействия либо путем непосредственного обращения гражданина с документами, подтверждающими право на меры социальной поддержки по оплате проезда.</w:t>
      </w:r>
    </w:p>
    <w:p>
      <w:pPr>
        <w:pStyle w:val="0"/>
        <w:spacing w:before="240" w:line-rule="auto"/>
        <w:ind w:firstLine="540"/>
        <w:jc w:val="both"/>
      </w:pPr>
      <w:r>
        <w:rPr>
          <w:sz w:val="24"/>
        </w:rPr>
        <w:t xml:space="preserve">В случае поступления сведений об изменении льготной категории владельца транспортной карты "Льготная", полученных путем межведомственного информационного взаимодействия, данная информация передается уполномоченным структурным подразделением администрации города Рязани оператору Цифрового сервиса ЕЦК в течение 5 (пяти) рабочих дней.</w:t>
      </w:r>
    </w:p>
    <w:p>
      <w:pPr>
        <w:pStyle w:val="0"/>
        <w:spacing w:before="240" w:line-rule="auto"/>
        <w:ind w:firstLine="540"/>
        <w:jc w:val="both"/>
      </w:pPr>
      <w:r>
        <w:rPr>
          <w:sz w:val="24"/>
        </w:rPr>
        <w:t xml:space="preserve">Разблокирование транспортной карты "Льготная" осуществляется оператором Цифрового сервиса ЕЦК в течение 1 (одного) рабочего дня, следующего за днем поступления данных, полученных путем информационного взаимодействия с уполномоченным структурным подразделением администрации города Рязани.</w:t>
      </w:r>
    </w:p>
    <w:p>
      <w:pPr>
        <w:pStyle w:val="0"/>
        <w:spacing w:before="240" w:line-rule="auto"/>
        <w:ind w:firstLine="540"/>
        <w:jc w:val="both"/>
      </w:pPr>
      <w:r>
        <w:rPr>
          <w:sz w:val="24"/>
        </w:rPr>
        <w:t xml:space="preserve">При утере и/или наличии в ранее полученной транспортной карте "Льготная" дефектов, которые привели к невозможности ее использования, гражданин в установленном порядке получает ЕЦК.</w:t>
      </w:r>
    </w:p>
    <w:p>
      <w:pPr>
        <w:pStyle w:val="0"/>
        <w:jc w:val="both"/>
      </w:pPr>
      <w:r>
        <w:rPr>
          <w:sz w:val="24"/>
        </w:rPr>
        <w:t xml:space="preserve">(абзац введен </w:t>
      </w:r>
      <w:hyperlink w:history="0" r:id="rId43"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Постановлением</w:t>
        </w:r>
      </w:hyperlink>
      <w:r>
        <w:rPr>
          <w:sz w:val="24"/>
        </w:rPr>
        <w:t xml:space="preserve"> Администрации города Рязани от 29.08.2025 N 8427)</w:t>
      </w:r>
    </w:p>
    <w:p>
      <w:pPr>
        <w:pStyle w:val="0"/>
        <w:spacing w:before="240" w:line-rule="auto"/>
        <w:ind w:firstLine="540"/>
        <w:jc w:val="both"/>
      </w:pPr>
      <w:r>
        <w:rPr>
          <w:sz w:val="24"/>
        </w:rPr>
        <w:t xml:space="preserve">При получении ЕЦК ранее выданная транспортная карта "Льготная" блокируется Оператором Цифрового сервиса ЕЦК в течение 2 рабочих дней с даты получения гражданином ЕЦК или с даты получения заявления о блокировке транспортной карты. Неиспользованный остаток транспортного ресурса с блокируемой транспортной карты "Льготная" переносится оператором Цифрового сервиса ЕЦК на выданную ЕЦК автоматически.</w:t>
      </w:r>
    </w:p>
    <w:p>
      <w:pPr>
        <w:pStyle w:val="0"/>
        <w:jc w:val="both"/>
      </w:pPr>
      <w:r>
        <w:rPr>
          <w:sz w:val="24"/>
        </w:rPr>
        <w:t xml:space="preserve">(абзац введен </w:t>
      </w:r>
      <w:hyperlink w:history="0" r:id="rId44"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Постановлением</w:t>
        </w:r>
      </w:hyperlink>
      <w:r>
        <w:rPr>
          <w:sz w:val="24"/>
        </w:rPr>
        <w:t xml:space="preserve"> Администрации города Рязани от 29.08.2025 N 8427)</w:t>
      </w:r>
    </w:p>
    <w:bookmarkStart w:id="161" w:name="P161"/>
    <w:bookmarkEnd w:id="161"/>
    <w:p>
      <w:pPr>
        <w:pStyle w:val="0"/>
        <w:spacing w:before="240" w:line-rule="auto"/>
        <w:ind w:firstLine="540"/>
        <w:jc w:val="both"/>
      </w:pPr>
      <w:r>
        <w:rPr>
          <w:sz w:val="24"/>
        </w:rPr>
        <w:t xml:space="preserve">3.1.4. Транспортная карта "Городская" - неперсонализированный материальный носитель электронного приложения стандарта MifarePlus, длительного использования, с возможным подключением иных приложений, с возможностью осуществления оплаты и регистрации проезда в АСОП, полученный держателем до 20.05.2024.</w:t>
      </w:r>
    </w:p>
    <w:p>
      <w:pPr>
        <w:pStyle w:val="0"/>
        <w:spacing w:before="240" w:line-rule="auto"/>
        <w:ind w:firstLine="540"/>
        <w:jc w:val="both"/>
      </w:pPr>
      <w:r>
        <w:rPr>
          <w:sz w:val="24"/>
        </w:rPr>
        <w:t xml:space="preserve">3.1.5. При использовании гражданином ЕЦК в случае утраты права на меры социальной поддержки по оплате проезда оператором Цифрового сервиса ЕЦК блокируется пополнение ресурса транспортного приложения ЕЦК в срок до наступления периода пополнения ресурса транспортного приложения на соответствующий месяц.</w:t>
      </w:r>
    </w:p>
    <w:p>
      <w:pPr>
        <w:pStyle w:val="0"/>
        <w:spacing w:before="240" w:line-rule="auto"/>
        <w:ind w:firstLine="540"/>
        <w:jc w:val="both"/>
      </w:pPr>
      <w:r>
        <w:rPr>
          <w:sz w:val="24"/>
        </w:rPr>
        <w:t xml:space="preserve">При вновь возникшем у гражданина праве на меры социальной поддержки по оплате проезда (по иному льготному основанию или в случае необходимости продления срока действия существующей льготы) транспортное приложение ЕЦК переводится оператором Цифрового сервиса ЕЦК в активное состояние путем разблокирования для дальнейшего использования на период действия льготы. Передача сведений оператору Цифрового сервиса ЕЦК о сроке действия льготы осуществляется уполномоченным структурным подразделением администрации города Рязани в течение 1 (одного) рабочего дня, следующего за днем поступления сведений, полученных путем межведомственного информационного взаимодействия либо путем непосредственного обращения гражданина с документами, подтверждающими право на меры социальной поддержки по оплате проезда.</w:t>
      </w:r>
    </w:p>
    <w:p>
      <w:pPr>
        <w:pStyle w:val="0"/>
        <w:jc w:val="both"/>
      </w:pPr>
      <w:r>
        <w:rPr>
          <w:sz w:val="24"/>
        </w:rPr>
        <w:t xml:space="preserve">(п. 3.1.5 введен </w:t>
      </w:r>
      <w:hyperlink w:history="0" r:id="rId45"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Постановлением</w:t>
        </w:r>
      </w:hyperlink>
      <w:r>
        <w:rPr>
          <w:sz w:val="24"/>
        </w:rPr>
        <w:t xml:space="preserve"> Администрации города Рязани от 29.08.2025 N 8427)</w:t>
      </w:r>
    </w:p>
    <w:p>
      <w:pPr>
        <w:pStyle w:val="0"/>
        <w:spacing w:before="240" w:line-rule="auto"/>
        <w:ind w:firstLine="540"/>
        <w:jc w:val="both"/>
      </w:pPr>
      <w:r>
        <w:rPr>
          <w:sz w:val="24"/>
        </w:rPr>
        <w:t xml:space="preserve">3.2. Транспортные карты, транспортное приложение, не подключенные к АСОП, для оплаты проезда недействительны.</w:t>
      </w:r>
    </w:p>
    <w:p>
      <w:pPr>
        <w:pStyle w:val="0"/>
        <w:spacing w:before="240" w:line-rule="auto"/>
        <w:ind w:firstLine="540"/>
        <w:jc w:val="both"/>
      </w:pPr>
      <w:r>
        <w:rPr>
          <w:sz w:val="24"/>
        </w:rPr>
        <w:t xml:space="preserve">3.3. Утеря, порча или иная утрата держателем транспортной карты приводят к прекращению обслуживания держателя в АСОП до получения ЕЦК.</w:t>
      </w:r>
    </w:p>
    <w:p>
      <w:pPr>
        <w:pStyle w:val="0"/>
        <w:jc w:val="both"/>
      </w:pPr>
      <w:r>
        <w:rPr>
          <w:sz w:val="24"/>
        </w:rPr>
      </w:r>
    </w:p>
    <w:p>
      <w:pPr>
        <w:pStyle w:val="2"/>
        <w:outlineLvl w:val="1"/>
        <w:jc w:val="center"/>
      </w:pPr>
      <w:r>
        <w:rPr>
          <w:sz w:val="24"/>
        </w:rPr>
        <w:t xml:space="preserve">4. Порядок оплаты проезда с использованием ЕЦК или</w:t>
      </w:r>
    </w:p>
    <w:p>
      <w:pPr>
        <w:pStyle w:val="2"/>
        <w:jc w:val="center"/>
      </w:pPr>
      <w:r>
        <w:rPr>
          <w:sz w:val="24"/>
        </w:rPr>
        <w:t xml:space="preserve">транспортных карт</w:t>
      </w:r>
    </w:p>
    <w:p>
      <w:pPr>
        <w:pStyle w:val="0"/>
        <w:jc w:val="both"/>
      </w:pPr>
      <w:r>
        <w:rPr>
          <w:sz w:val="24"/>
        </w:rPr>
      </w:r>
    </w:p>
    <w:p>
      <w:pPr>
        <w:pStyle w:val="0"/>
        <w:ind w:firstLine="540"/>
        <w:jc w:val="both"/>
      </w:pPr>
      <w:r>
        <w:rPr>
          <w:sz w:val="24"/>
        </w:rPr>
        <w:t xml:space="preserve">4.1. ЕЦК или транспортная карта принимается для оплаты проезда в оборудованных терминалами оплаты транспортных средствах перевозчиков.</w:t>
      </w:r>
    </w:p>
    <w:p>
      <w:pPr>
        <w:pStyle w:val="0"/>
        <w:spacing w:before="240" w:line-rule="auto"/>
        <w:ind w:firstLine="540"/>
        <w:jc w:val="both"/>
      </w:pPr>
      <w:r>
        <w:rPr>
          <w:sz w:val="24"/>
        </w:rPr>
        <w:t xml:space="preserve">4.2. Порядок предоставления меры социальной поддержки по оплате проезда с использованием транспортных карт, указанных в </w:t>
      </w:r>
      <w:hyperlink w:history="0" w:anchor="P145" w:tooltip="3.1.1. Транспортная карта &quot;Школьная&quot;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
        <w:r>
          <w:rPr>
            <w:sz w:val="24"/>
            <w:color w:val="0000ff"/>
          </w:rPr>
          <w:t xml:space="preserve">подпунктах 3.1.1</w:t>
        </w:r>
      </w:hyperlink>
      <w:r>
        <w:rPr>
          <w:sz w:val="24"/>
        </w:rPr>
        <w:t xml:space="preserve"> - </w:t>
      </w:r>
      <w:hyperlink w:history="0" w:anchor="P150" w:tooltip="3.1.3. Транспортная карта &quot;Льготная&quot;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
        <w:r>
          <w:rPr>
            <w:sz w:val="24"/>
            <w:color w:val="0000ff"/>
          </w:rPr>
          <w:t xml:space="preserve">3.1.3 пункта 3.1</w:t>
        </w:r>
      </w:hyperlink>
      <w:r>
        <w:rPr>
          <w:sz w:val="24"/>
        </w:rPr>
        <w:t xml:space="preserve"> Положения, установлен </w:t>
      </w:r>
      <w:hyperlink w:history="0" r:id="rId46" w:tooltip="Постановление Администрации города Рязани от 25.04.2018 N 1614 (ред. от 09.04.2024) &quot;Об утверждении Порядка предоставления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КонсультантПлюс}">
        <w:r>
          <w:rPr>
            <w:sz w:val="24"/>
            <w:color w:val="0000ff"/>
          </w:rPr>
          <w:t xml:space="preserve">Постановлением</w:t>
        </w:r>
      </w:hyperlink>
      <w:r>
        <w:rPr>
          <w:sz w:val="24"/>
        </w:rPr>
        <w:t xml:space="preserve"> администрации города Рязани от 25.04.2018 N 1614 "Об утверждении Порядка предоставления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jc w:val="both"/>
      </w:pPr>
      <w:r>
        <w:rPr>
          <w:sz w:val="24"/>
        </w:rPr>
        <w:t xml:space="preserve">(в ред. </w:t>
      </w:r>
      <w:hyperlink w:history="0" r:id="rId47"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spacing w:before="240" w:line-rule="auto"/>
        <w:ind w:firstLine="540"/>
        <w:jc w:val="both"/>
      </w:pPr>
      <w:r>
        <w:rPr>
          <w:sz w:val="24"/>
        </w:rPr>
        <w:t xml:space="preserve">Для оплаты проезда с использованием ЕЦК или транспортных карт держателю необходимо предъявить кондуктору (водителю) ЕЦК или транспортную карту для оплаты проезда с использованием терминала оплаты либо приложить ЕЦК или транспортную карту к стационарно установленному на борту транспортного средства терминалу оплаты и получить билет.</w:t>
      </w:r>
    </w:p>
    <w:p>
      <w:pPr>
        <w:pStyle w:val="0"/>
        <w:spacing w:before="240" w:line-rule="auto"/>
        <w:ind w:firstLine="540"/>
        <w:jc w:val="both"/>
      </w:pPr>
      <w:r>
        <w:rPr>
          <w:sz w:val="24"/>
        </w:rPr>
        <w:t xml:space="preserve">4.3. В случае невозможности оплаты проезда с помощью ЕЦК или транспортной карты из-за ее неисправности держателям ЕЦК или транспортных карт, указанных в </w:t>
      </w:r>
      <w:hyperlink w:history="0" w:anchor="P145" w:tooltip="3.1.1. Транспортная карта &quot;Школьная&quot;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
        <w:r>
          <w:rPr>
            <w:sz w:val="24"/>
            <w:color w:val="0000ff"/>
          </w:rPr>
          <w:t xml:space="preserve">подпунктах 3.1.1</w:t>
        </w:r>
      </w:hyperlink>
      <w:r>
        <w:rPr>
          <w:sz w:val="24"/>
        </w:rPr>
        <w:t xml:space="preserve"> - </w:t>
      </w:r>
      <w:hyperlink w:history="0" w:anchor="P150" w:tooltip="3.1.3. Транспортная карта &quot;Льготная&quot;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
        <w:r>
          <w:rPr>
            <w:sz w:val="24"/>
            <w:color w:val="0000ff"/>
          </w:rPr>
          <w:t xml:space="preserve">3.1.3 пункта 3.1</w:t>
        </w:r>
      </w:hyperlink>
      <w:r>
        <w:rPr>
          <w:sz w:val="24"/>
        </w:rPr>
        <w:t xml:space="preserve"> Положения, имеющим право на дополнительную меру социальной поддержки и социальной помощи в соответствии с </w:t>
      </w:r>
      <w:hyperlink w:history="0" r:id="rId48" w:tooltip="Решение Рязанской городской Думы от 27.06.2024 N 179-IV (ред. от 24.10.2024)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вместе с &quot;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КонсультантПлюс}">
        <w:r>
          <w:rPr>
            <w:sz w:val="24"/>
            <w:color w:val="0000ff"/>
          </w:rPr>
          <w:t xml:space="preserve">решением</w:t>
        </w:r>
      </w:hyperlink>
      <w:r>
        <w:rPr>
          <w:sz w:val="24"/>
        </w:rPr>
        <w:t xml:space="preserve"> Рязанской городской Думы от 27.06.2024 N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необходимо предъявить документ об оплате, подтверждающий проведение операции по пополнению ресурса транспортного приложения на текущий месяц в размере установленной стоимости проезда.</w:t>
      </w:r>
    </w:p>
    <w:p>
      <w:pPr>
        <w:pStyle w:val="0"/>
        <w:spacing w:before="240" w:line-rule="auto"/>
        <w:ind w:firstLine="540"/>
        <w:jc w:val="both"/>
      </w:pPr>
      <w:r>
        <w:rPr>
          <w:sz w:val="24"/>
        </w:rPr>
        <w:t xml:space="preserve">Держатели, указанные в </w:t>
      </w:r>
      <w:hyperlink w:history="0" w:anchor="P145" w:tooltip="3.1.1. Транспортная карта &quot;Школьная&quot; - персонализированный (при наличии технической возможности - виртуаль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В качестве персонализированного материального носителя испо...">
        <w:r>
          <w:rPr>
            <w:sz w:val="24"/>
            <w:color w:val="0000ff"/>
          </w:rPr>
          <w:t xml:space="preserve">подпунктах 3.1.1</w:t>
        </w:r>
      </w:hyperlink>
      <w:r>
        <w:rPr>
          <w:sz w:val="24"/>
        </w:rPr>
        <w:t xml:space="preserve"> - </w:t>
      </w:r>
      <w:hyperlink w:history="0" w:anchor="P150" w:tooltip="3.1.3. Транспортная карта &quot;Льготная&quot; - персонализированный материальный носитель электронного приложения стандарта Mifare Plus, длительного использования, с возможным подключением иных приложений, с возможностью держателя осуществлять оплату и регистрацию проезда в АСОП, а также самостоятельно совершать операции пополнения ресурса транспортного приложения с использованием терминалов пополнения, полученный держателем до 31.12.2023.">
        <w:r>
          <w:rPr>
            <w:sz w:val="24"/>
            <w:color w:val="0000ff"/>
          </w:rPr>
          <w:t xml:space="preserve">3.1.3 пункта 3.1</w:t>
        </w:r>
      </w:hyperlink>
      <w:r>
        <w:rPr>
          <w:sz w:val="24"/>
        </w:rPr>
        <w:t xml:space="preserve"> Положения, оплачивают проезд в транспортном средстве по установленному тарифу наличными денежными средствами или банковской картой на общих основаниях в следующих случаях:</w:t>
      </w:r>
    </w:p>
    <w:p>
      <w:pPr>
        <w:pStyle w:val="0"/>
        <w:spacing w:before="240" w:line-rule="auto"/>
        <w:ind w:firstLine="540"/>
        <w:jc w:val="both"/>
      </w:pPr>
      <w:r>
        <w:rPr>
          <w:sz w:val="24"/>
        </w:rPr>
        <w:t xml:space="preserve">- при не пополненном на текущий месяц, в размере установленной стоимости проезда, ресурсе транспортного приложения или транспортной карты;</w:t>
      </w:r>
    </w:p>
    <w:p>
      <w:pPr>
        <w:pStyle w:val="0"/>
        <w:spacing w:before="240" w:line-rule="auto"/>
        <w:ind w:firstLine="540"/>
        <w:jc w:val="both"/>
      </w:pPr>
      <w:r>
        <w:rPr>
          <w:sz w:val="24"/>
        </w:rPr>
        <w:t xml:space="preserve">- при невозможности оплаты проезда с помощью ЕЦК или транспортной карты из-за ее неисправности и отсутствии при этом документа об оплате, подтверждающего проведение операции по пополнению ресурса транспортного приложения на текущий месяц в размере установленной стоимости проезда.</w:t>
      </w:r>
    </w:p>
    <w:p>
      <w:pPr>
        <w:pStyle w:val="0"/>
        <w:spacing w:before="240" w:line-rule="auto"/>
        <w:ind w:firstLine="540"/>
        <w:jc w:val="both"/>
      </w:pPr>
      <w:r>
        <w:rPr>
          <w:sz w:val="24"/>
        </w:rPr>
        <w:t xml:space="preserve">Держатели, имеющие меры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в соответствии с </w:t>
      </w:r>
      <w:hyperlink w:history="0" r:id="rId49" w:tooltip="Закон Рязанской области от 21.12.2016 N 91-ОЗ (ред. от 08.07.2025) &quot;О мерах социальной поддержки населения Рязанской области&quot; (принят Постановлением Рязанской областной Думы от 30.11.2016 N 446-VI РОД) {КонсультантПлюс}">
        <w:r>
          <w:rPr>
            <w:sz w:val="24"/>
            <w:color w:val="0000ff"/>
          </w:rPr>
          <w:t xml:space="preserve">Законом</w:t>
        </w:r>
      </w:hyperlink>
      <w:r>
        <w:rPr>
          <w:sz w:val="24"/>
        </w:rPr>
        <w:t xml:space="preserve"> Рязанской области от 21.12.2016 N 91-ОЗ "О мерах социальной поддержки населения Рязанской области", оплачивают проезд в транспортном средстве по установленному тарифу наличными денежными средствами или банковской картой на общих основаниях в следующих случаях:</w:t>
      </w:r>
    </w:p>
    <w:p>
      <w:pPr>
        <w:pStyle w:val="0"/>
        <w:spacing w:before="240" w:line-rule="auto"/>
        <w:ind w:firstLine="540"/>
        <w:jc w:val="both"/>
      </w:pPr>
      <w:r>
        <w:rPr>
          <w:sz w:val="24"/>
        </w:rPr>
        <w:t xml:space="preserve">- в случае невозможности оплаты проезда с помощью ЕЦК или удостоверения ВБД из-за неисправности или в случае непополнения ресурса транспортного приложения;</w:t>
      </w:r>
    </w:p>
    <w:p>
      <w:pPr>
        <w:pStyle w:val="0"/>
        <w:spacing w:before="240" w:line-rule="auto"/>
        <w:ind w:firstLine="540"/>
        <w:jc w:val="both"/>
      </w:pPr>
      <w:r>
        <w:rPr>
          <w:sz w:val="24"/>
        </w:rPr>
        <w:t xml:space="preserve">- в случае отсутствия денежных средств на банковском счете ЕЦК или удостоверения ВБД.</w:t>
      </w:r>
    </w:p>
    <w:p>
      <w:pPr>
        <w:pStyle w:val="0"/>
        <w:jc w:val="both"/>
      </w:pPr>
      <w:r>
        <w:rPr>
          <w:sz w:val="24"/>
        </w:rPr>
        <w:t xml:space="preserve">(п. 4.3 в ред. </w:t>
      </w:r>
      <w:hyperlink w:history="0" r:id="rId50"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spacing w:before="240" w:line-rule="auto"/>
        <w:ind w:firstLine="540"/>
        <w:jc w:val="both"/>
      </w:pPr>
      <w:r>
        <w:rPr>
          <w:sz w:val="24"/>
        </w:rPr>
        <w:t xml:space="preserve">4.4. В случае невозможности оплаты проезда с помощью транспортной карты из-за ее неисправности, а также в случае отсутствия денежных средств на ресурсе транспортного приложения, держатели транспортной карты, указанной в </w:t>
      </w:r>
      <w:hyperlink w:history="0" w:anchor="P161" w:tooltip="3.1.4. Транспортная карта &quot;Городская&quot; - неперсонализированный материальный носитель электронного приложения стандарта MifarePlus, длительного использования, с возможным подключением иных приложений, с возможностью осуществления оплаты и регистрации проезда в АСОП, полученный держателем до 20.05.2024.">
        <w:r>
          <w:rPr>
            <w:sz w:val="24"/>
            <w:color w:val="0000ff"/>
          </w:rPr>
          <w:t xml:space="preserve">подпункте 3.1.4 пункта 3.1</w:t>
        </w:r>
      </w:hyperlink>
      <w:r>
        <w:rPr>
          <w:sz w:val="24"/>
        </w:rPr>
        <w:t xml:space="preserve"> Положения, оплачивают проезд в транспортном средстве по установленному тарифу наличными денежными средствами или банковской картой на общих основаниях.</w:t>
      </w:r>
    </w:p>
    <w:p>
      <w:pPr>
        <w:pStyle w:val="0"/>
        <w:spacing w:before="240" w:line-rule="auto"/>
        <w:ind w:firstLine="540"/>
        <w:jc w:val="both"/>
      </w:pPr>
      <w:r>
        <w:rPr>
          <w:sz w:val="24"/>
        </w:rPr>
        <w:t xml:space="preserve">4.5. В случае неоплаты проезда, использования недействительной ЕЦК или транспортной карты к держателю применяются штрафные санкции, предусмотренные перевозчиком за безбилетный проезд.</w:t>
      </w:r>
    </w:p>
    <w:p>
      <w:pPr>
        <w:pStyle w:val="0"/>
        <w:spacing w:before="240" w:line-rule="auto"/>
        <w:ind w:firstLine="540"/>
        <w:jc w:val="both"/>
      </w:pPr>
      <w:r>
        <w:rPr>
          <w:sz w:val="24"/>
        </w:rPr>
        <w:t xml:space="preserve">Выход из строя ЕЦК или транспортной карты не освобождает держателя от оплаты проезда в транспортном средстве перевозчика.</w:t>
      </w:r>
    </w:p>
    <w:p>
      <w:pPr>
        <w:pStyle w:val="0"/>
        <w:spacing w:before="240" w:line-rule="auto"/>
        <w:ind w:firstLine="540"/>
        <w:jc w:val="both"/>
      </w:pPr>
      <w:r>
        <w:rPr>
          <w:sz w:val="24"/>
        </w:rPr>
        <w:t xml:space="preserve">4.6. В случае невозможности проведения операции по оплате проезда с использованием ЕЦК, транспортной или банковской карты по причине неисправности терминала оплаты перевозка пассажиров не осуществляется, а транспортное средство считается технически неисправным и обязано возвратиться в парк.</w:t>
      </w:r>
    </w:p>
    <w:p>
      <w:pPr>
        <w:pStyle w:val="0"/>
        <w:spacing w:before="240" w:line-rule="auto"/>
        <w:ind w:firstLine="540"/>
        <w:jc w:val="both"/>
      </w:pPr>
      <w:r>
        <w:rPr>
          <w:sz w:val="24"/>
        </w:rPr>
        <w:t xml:space="preserve">При невозможности продолжения движения транспортного средства по маршруту, вызванной техническими неисправностями, кондуктор производит пересадку пассажиров в другое транспортное средство этого же перевозчика.</w:t>
      </w:r>
    </w:p>
    <w:p>
      <w:pPr>
        <w:pStyle w:val="0"/>
        <w:spacing w:before="240" w:line-rule="auto"/>
        <w:ind w:firstLine="540"/>
        <w:jc w:val="both"/>
      </w:pPr>
      <w:r>
        <w:rPr>
          <w:sz w:val="24"/>
        </w:rPr>
        <w:t xml:space="preserve">4.7. Выпуск, выдача, замена и обслуживание ЕЦК осуществляется в порядке, установленном </w:t>
      </w:r>
      <w:hyperlink w:history="0" r:id="rId51" w:tooltip="Постановление Правительства Рязанской области от 25.10.2022 N 380 (ред. от 03.04.2025) &quot;О реализации цифрового сервиса &quot;Единая цифровая карта жителя Рязанской области&quot; (вместе с &quot;Положением об универсальном платежно-сервисном инструменте для населения Рязанской области...&quot;, &quot;Условиями участия кредитной организации в качестве банка-эмитента ЕЦК&quot;, &quot;Положением об операторе цифрового сервиса ЕЦК&quot;) {КонсультантПлюс}">
        <w:r>
          <w:rPr>
            <w:sz w:val="24"/>
            <w:color w:val="0000ff"/>
          </w:rPr>
          <w:t xml:space="preserve">постановлением</w:t>
        </w:r>
      </w:hyperlink>
      <w:r>
        <w:rPr>
          <w:sz w:val="24"/>
        </w:rPr>
        <w:t xml:space="preserve"> Правительства Рязанской области от 25.10.2022 N 380 "О реализации цифрового сервиса "Единая цифровая карта жителя Рязанской области".</w:t>
      </w:r>
    </w:p>
    <w:p>
      <w:pPr>
        <w:pStyle w:val="0"/>
        <w:spacing w:before="240" w:line-rule="auto"/>
        <w:ind w:firstLine="540"/>
        <w:jc w:val="both"/>
      </w:pPr>
      <w:r>
        <w:rPr>
          <w:sz w:val="24"/>
        </w:rPr>
        <w:t xml:space="preserve">Выпуск, выдача, замена и обслуживание удостоверения ВБД осуществляется в соответствии с </w:t>
      </w:r>
      <w:hyperlink w:history="0" r:id="rId52" w:tooltip="Постановление Правительства РФ от 19.12.2003 N 763 (ред. от 14.08.2025) &quot;Об удостоверении ветерана боевых действий&quot; (вместе с &quot;Инструкцией о порядке заполнения, выдачи и учета удостоверения ветерана боевых действий, оформляемого на бланке&quot;) {КонсультантПлюс}">
        <w:r>
          <w:rPr>
            <w:sz w:val="24"/>
            <w:color w:val="0000ff"/>
          </w:rPr>
          <w:t xml:space="preserve">постановлением</w:t>
        </w:r>
      </w:hyperlink>
      <w:r>
        <w:rPr>
          <w:sz w:val="24"/>
        </w:rPr>
        <w:t xml:space="preserve"> Правительства Российской Федерации от 19.12.2003 N 763 "Об удостоверении ветерана боевых действий".</w:t>
      </w:r>
    </w:p>
    <w:p>
      <w:pPr>
        <w:pStyle w:val="0"/>
        <w:spacing w:before="240" w:line-rule="auto"/>
        <w:ind w:firstLine="540"/>
        <w:jc w:val="both"/>
      </w:pPr>
      <w:r>
        <w:rPr>
          <w:sz w:val="24"/>
        </w:rPr>
        <w:t xml:space="preserve">В случае получения ЕЦК держателями, имеющими права на меру социальной поддержки и социальной помощи и/или дополнительные меры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для ее использования держатели обязаны подтвердить право на получение данной меры социальной поддержки или дополнительной меры социальной поддержки в </w:t>
      </w:r>
      <w:hyperlink w:history="0" r:id="rId53" w:tooltip="Постановление МТСЗН Рязанской области от 05.10.2023 N 49 (ред. от 25.12.2024)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КонсультантПлюс}">
        <w:r>
          <w:rPr>
            <w:sz w:val="24"/>
            <w:color w:val="0000ff"/>
          </w:rPr>
          <w:t xml:space="preserve">порядке</w:t>
        </w:r>
      </w:hyperlink>
      <w:r>
        <w:rPr>
          <w:sz w:val="24"/>
        </w:rPr>
        <w:t xml:space="preserve">, установленном постановлением Министерства труда и социальной защиты населения Рязанской области от 05.10.2023 N 49 "Об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w:t>
      </w:r>
      <w:hyperlink w:history="0" r:id="rId54" w:tooltip="Постановление Администрации города Рязани от 01.09.2023 N 11674 &quot;Об утверждении Порядка подтверждения права на льготный проезд в автомобильном и наземном электрическом транспорте общего пользования города Рязани отдельным категориям граждан&quot; {КонсультантПлюс}">
        <w:r>
          <w:rPr>
            <w:sz w:val="24"/>
            <w:color w:val="0000ff"/>
          </w:rPr>
          <w:t xml:space="preserve">постановлением</w:t>
        </w:r>
      </w:hyperlink>
      <w:r>
        <w:rPr>
          <w:sz w:val="24"/>
        </w:rPr>
        <w:t xml:space="preserve"> администрации города Рязани от 01.09.2023 N 11674 "Об утверждении Порядка подтверждения права на льготный проезд в автомобильном и наземном электрическом транспорте общего пользования города Рязани отдельным категориям граждан", </w:t>
      </w:r>
      <w:hyperlink w:history="0" r:id="rId55" w:tooltip="Постановление Администрации города Рязани от 18.04.2025 N 3652 &quot;Об утверждении административного регламента предоставления муниципальной услуги &quot;Подтверждение права на льготный проезд в автомобильном и наземном электрическом транспорте общего пользования города Рязани отдельным категориям граждан&quot; {КонсультантПлюс}">
        <w:r>
          <w:rPr>
            <w:sz w:val="24"/>
            <w:color w:val="0000ff"/>
          </w:rPr>
          <w:t xml:space="preserve">постановлением</w:t>
        </w:r>
      </w:hyperlink>
      <w:r>
        <w:rPr>
          <w:sz w:val="24"/>
        </w:rPr>
        <w:t xml:space="preserve"> администрации города Рязани от 18.04.2025 N 3652 "Об утверждении административного регламента предоставления муниципальной услуги "Подтверждение права на льготный проезд в автомобильном и наземном электрическом транспорте общего пользования города Рязани отдельным категориям граждан".</w:t>
      </w:r>
    </w:p>
    <w:p>
      <w:pPr>
        <w:pStyle w:val="0"/>
        <w:spacing w:before="240" w:line-rule="auto"/>
        <w:ind w:firstLine="540"/>
        <w:jc w:val="both"/>
      </w:pPr>
      <w:r>
        <w:rPr>
          <w:sz w:val="24"/>
        </w:rPr>
        <w:t xml:space="preserve">В случае получения удостоверения ВБД держателями, имеющими права на меру социальной поддержки по предоставлению льготного проезда транспортом общего пользования на территории Рязанской области, для ее использования держатели обязаны подтвердить право на получение данной меры социальной поддержки в </w:t>
      </w:r>
      <w:hyperlink w:history="0" r:id="rId56" w:tooltip="Постановление МТСЗН Рязанской области от 05.10.2023 N 49 (ред. от 25.12.2024)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КонсультантПлюс}">
        <w:r>
          <w:rPr>
            <w:sz w:val="24"/>
            <w:color w:val="0000ff"/>
          </w:rPr>
          <w:t xml:space="preserve">порядке</w:t>
        </w:r>
      </w:hyperlink>
      <w:r>
        <w:rPr>
          <w:sz w:val="24"/>
        </w:rPr>
        <w:t xml:space="preserve">, установленном постановлением Министерства труда и социальной защиты населения Рязанской области от 05.10.2023 N 49 "Об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p>
      <w:pPr>
        <w:pStyle w:val="0"/>
        <w:jc w:val="both"/>
      </w:pPr>
      <w:r>
        <w:rPr>
          <w:sz w:val="24"/>
        </w:rPr>
        <w:t xml:space="preserve">(п. 4.7 в ред. </w:t>
      </w:r>
      <w:hyperlink w:history="0" r:id="rId57" w:tooltip="Постановление Администрации города Рязани от 29.08.2025 N 8427 &quot;О внесении изменений в приложение N 1 к постановлению администрации города Рязани от 22.06.2016 N 2694 &quot;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Постановления</w:t>
        </w:r>
      </w:hyperlink>
      <w:r>
        <w:rPr>
          <w:sz w:val="24"/>
        </w:rPr>
        <w:t xml:space="preserve"> Администрации города Рязани от 29.08.2025 N 8427)</w:t>
      </w:r>
    </w:p>
    <w:p>
      <w:pPr>
        <w:pStyle w:val="0"/>
        <w:jc w:val="both"/>
      </w:pPr>
      <w:r>
        <w:rPr>
          <w:sz w:val="24"/>
        </w:rPr>
      </w:r>
    </w:p>
    <w:p>
      <w:pPr>
        <w:pStyle w:val="2"/>
        <w:outlineLvl w:val="1"/>
        <w:jc w:val="center"/>
      </w:pPr>
      <w:r>
        <w:rPr>
          <w:sz w:val="24"/>
        </w:rPr>
        <w:t xml:space="preserve">5. Порядок урегулирования претензий</w:t>
      </w:r>
    </w:p>
    <w:p>
      <w:pPr>
        <w:pStyle w:val="0"/>
        <w:jc w:val="both"/>
      </w:pPr>
      <w:r>
        <w:rPr>
          <w:sz w:val="24"/>
        </w:rPr>
      </w:r>
    </w:p>
    <w:p>
      <w:pPr>
        <w:pStyle w:val="0"/>
        <w:ind w:firstLine="540"/>
        <w:jc w:val="both"/>
      </w:pPr>
      <w:r>
        <w:rPr>
          <w:sz w:val="24"/>
        </w:rPr>
        <w:t xml:space="preserve">5.1. Оператор Цифрового сервиса ЕЦК принимает, регистрирует и рассматривает письменные заявления (претензии) держателей, связанные с обслуживанием и использованием ЕЦК или транспортных карт.</w:t>
      </w:r>
    </w:p>
    <w:p>
      <w:pPr>
        <w:pStyle w:val="0"/>
        <w:spacing w:before="240" w:line-rule="auto"/>
        <w:ind w:firstLine="540"/>
        <w:jc w:val="both"/>
      </w:pPr>
      <w:r>
        <w:rPr>
          <w:sz w:val="24"/>
        </w:rPr>
        <w:t xml:space="preserve">5.2. Оператор Цифрового сервиса ЕЦК после получения от держателя письменного заявления (претензии) обязан не позднее 30 (тридцати) календарных дней со дня получения заявления (претензии) рассмотреть его и сообщить о результатах рассмотрения способом, указанным держателем. Заявление (претензия) подается держателем по форме, расположенной на сайте Оператора Цифрового сервиса ЕЦК, расположенного в информационно-телекоммуникационной сети "Интернет".</w:t>
      </w:r>
    </w:p>
    <w:p>
      <w:pPr>
        <w:pStyle w:val="0"/>
        <w:spacing w:before="240" w:line-rule="auto"/>
        <w:ind w:firstLine="540"/>
        <w:jc w:val="both"/>
      </w:pPr>
      <w:r>
        <w:rPr>
          <w:sz w:val="24"/>
        </w:rPr>
        <w:t xml:space="preserve">5.3. В случае необходимости Оператор Цифрового сервиса ЕЦК направляет заявление (претензию) держателя участнику АСОП, который обязан рассмотреть заявление (претензию) держателя в течение 10 (десяти) календарных дней и направить ответ Оператору Цифрового сервиса ЕЦК.</w:t>
      </w:r>
    </w:p>
    <w:p>
      <w:pPr>
        <w:pStyle w:val="0"/>
        <w:spacing w:before="240" w:line-rule="auto"/>
        <w:ind w:firstLine="540"/>
        <w:jc w:val="both"/>
      </w:pPr>
      <w:r>
        <w:rPr>
          <w:sz w:val="24"/>
        </w:rPr>
        <w:t xml:space="preserve">5.4. В случае поступления заявления (претензии) держателя напрямую к участнику АСОП, участник АСОП не вправе отказать держателю в рассмотрении данного заявления (претензии) и обязан не позднее 30 (тридцати) календарных дней со дня получения заявления (претензии) рассмотреть его и сообщить о результатах рассмотрения способом, указанным держателем.</w:t>
      </w:r>
    </w:p>
    <w:p>
      <w:pPr>
        <w:pStyle w:val="0"/>
        <w:spacing w:before="240" w:line-rule="auto"/>
        <w:ind w:firstLine="540"/>
        <w:jc w:val="both"/>
      </w:pPr>
      <w:r>
        <w:rPr>
          <w:sz w:val="24"/>
        </w:rPr>
        <w:t xml:space="preserve">5.5. В случае неурегулирования споров и разногласий их разрешение производится в порядке, предусмотренном действующим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администрации города Рязани</w:t>
      </w:r>
    </w:p>
    <w:p>
      <w:pPr>
        <w:pStyle w:val="0"/>
        <w:jc w:val="right"/>
      </w:pPr>
      <w:r>
        <w:rPr>
          <w:sz w:val="24"/>
        </w:rPr>
        <w:t xml:space="preserve">от 22 июня 2016 г. N 2694</w:t>
      </w:r>
    </w:p>
    <w:p>
      <w:pPr>
        <w:pStyle w:val="0"/>
        <w:jc w:val="both"/>
      </w:pPr>
      <w:r>
        <w:rPr>
          <w:sz w:val="24"/>
        </w:rPr>
      </w:r>
    </w:p>
    <w:p>
      <w:pPr>
        <w:pStyle w:val="2"/>
        <w:jc w:val="center"/>
      </w:pPr>
      <w:r>
        <w:rPr>
          <w:sz w:val="24"/>
        </w:rPr>
        <w:t xml:space="preserve">ВИДЫ ЭЛЕКТРОННЫХ ПРОЕЗДНЫХ БИЛЕТОВ ДЛЯ ОПЛАТЫ ПРОЕЗДА</w:t>
      </w:r>
    </w:p>
    <w:p>
      <w:pPr>
        <w:pStyle w:val="2"/>
        <w:jc w:val="center"/>
      </w:pPr>
      <w:r>
        <w:rPr>
          <w:sz w:val="24"/>
        </w:rPr>
        <w:t xml:space="preserve">В ГОРОДСКОМ ПАССАЖИРСКОМ ТРАНСПОРТЕ ОБЩЕГО ПОЛЬЗОВАНИЯ</w:t>
      </w:r>
    </w:p>
    <w:p>
      <w:pPr>
        <w:pStyle w:val="2"/>
        <w:jc w:val="center"/>
      </w:pPr>
      <w:r>
        <w:rPr>
          <w:sz w:val="24"/>
        </w:rPr>
        <w:t xml:space="preserve">МУНИЦИПАЛЬНОГО ОБРАЗОВАНИЯ - ГОРОДСКОЙ ОКРУГ ГОРОД РЯЗАНЬ</w:t>
      </w:r>
    </w:p>
    <w:p>
      <w:pPr>
        <w:pStyle w:val="0"/>
        <w:jc w:val="both"/>
      </w:pPr>
      <w:r>
        <w:rPr>
          <w:sz w:val="24"/>
        </w:rPr>
      </w:r>
    </w:p>
    <w:p>
      <w:pPr>
        <w:pStyle w:val="0"/>
        <w:ind w:firstLine="540"/>
        <w:jc w:val="both"/>
      </w:pPr>
      <w:r>
        <w:rPr>
          <w:sz w:val="24"/>
        </w:rPr>
        <w:t xml:space="preserve">Исключено с 21.05.2024. - </w:t>
      </w:r>
      <w:hyperlink w:history="0" r:id="rId58" w:tooltip="Постановление Администрации города Рязани от 09.04.2024 N 4895 &quot;О внесении изменений в Постановление администрации города Рязани от 22.06.2016 N 2694 &quot;Об утверждении Положения об электронном проездном билете для оплаты проезда в городском пассажирском транспорте общего пользования муниципального образования - городской округ город Рязань&quot; {КонсультантПлюс}">
        <w:r>
          <w:rPr>
            <w:sz w:val="24"/>
            <w:color w:val="0000ff"/>
          </w:rPr>
          <w:t xml:space="preserve">Постановление</w:t>
        </w:r>
      </w:hyperlink>
      <w:r>
        <w:rPr>
          <w:sz w:val="24"/>
        </w:rPr>
        <w:t xml:space="preserve"> Администрации города Рязани от 09.04.2024 N 4895.</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Рязани от 22.06.2016 N 2694</w:t>
            <w:br/>
            <w:t>(ред. от 29.08.2025)</w:t>
            <w:br/>
            <w:t>"Об утверждении Положения об оплате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3&amp;n=216004&amp;date=05.09.2025&amp;dst=100005&amp;field=134" TargetMode = "External"/>
	<Relationship Id="rId8" Type="http://schemas.openxmlformats.org/officeDocument/2006/relationships/hyperlink" Target="https://login.consultant.ru/link/?req=doc&amp;base=RLAW073&amp;n=219719&amp;date=05.09.2025&amp;dst=100005&amp;field=134" TargetMode = "External"/>
	<Relationship Id="rId9" Type="http://schemas.openxmlformats.org/officeDocument/2006/relationships/hyperlink" Target="https://login.consultant.ru/link/?req=doc&amp;base=RLAW073&amp;n=224263&amp;date=05.09.2025&amp;dst=100005&amp;field=134" TargetMode = "External"/>
	<Relationship Id="rId10" Type="http://schemas.openxmlformats.org/officeDocument/2006/relationships/hyperlink" Target="https://login.consultant.ru/link/?req=doc&amp;base=RLAW073&amp;n=241170&amp;date=05.09.2025&amp;dst=100005&amp;field=134" TargetMode = "External"/>
	<Relationship Id="rId11" Type="http://schemas.openxmlformats.org/officeDocument/2006/relationships/hyperlink" Target="https://login.consultant.ru/link/?req=doc&amp;base=RLAW073&amp;n=255961&amp;date=05.09.2025&amp;dst=100005&amp;field=134" TargetMode = "External"/>
	<Relationship Id="rId12" Type="http://schemas.openxmlformats.org/officeDocument/2006/relationships/hyperlink" Target="https://login.consultant.ru/link/?req=doc&amp;base=RLAW073&amp;n=279317&amp;date=05.09.2025&amp;dst=100005&amp;field=134" TargetMode = "External"/>
	<Relationship Id="rId13" Type="http://schemas.openxmlformats.org/officeDocument/2006/relationships/hyperlink" Target="https://login.consultant.ru/link/?req=doc&amp;base=RLAW073&amp;n=281182&amp;date=05.09.2025&amp;dst=100005&amp;field=134" TargetMode = "External"/>
	<Relationship Id="rId14" Type="http://schemas.openxmlformats.org/officeDocument/2006/relationships/hyperlink" Target="https://login.consultant.ru/link/?req=doc&amp;base=RLAW073&amp;n=288177&amp;date=05.09.2025&amp;dst=100005&amp;field=134" TargetMode = "External"/>
	<Relationship Id="rId15" Type="http://schemas.openxmlformats.org/officeDocument/2006/relationships/hyperlink" Target="https://login.consultant.ru/link/?req=doc&amp;base=RLAW073&amp;n=369208&amp;date=05.09.2025&amp;dst=100005&amp;field=134" TargetMode = "External"/>
	<Relationship Id="rId16" Type="http://schemas.openxmlformats.org/officeDocument/2006/relationships/hyperlink" Target="https://login.consultant.ru/link/?req=doc&amp;base=RLAW073&amp;n=397853&amp;date=05.09.2025&amp;dst=100005&amp;field=134" TargetMode = "External"/>
	<Relationship Id="rId17" Type="http://schemas.openxmlformats.org/officeDocument/2006/relationships/hyperlink" Target="https://login.consultant.ru/link/?req=doc&amp;base=RLAW073&amp;n=412535&amp;date=05.09.2025&amp;dst=100005&amp;field=134" TargetMode = "External"/>
	<Relationship Id="rId18" Type="http://schemas.openxmlformats.org/officeDocument/2006/relationships/hyperlink" Target="https://login.consultant.ru/link/?req=doc&amp;base=RLAW073&amp;n=428839&amp;date=05.09.2025&amp;dst=100005&amp;field=134" TargetMode = "External"/>
	<Relationship Id="rId19" Type="http://schemas.openxmlformats.org/officeDocument/2006/relationships/hyperlink" Target="https://login.consultant.ru/link/?req=doc&amp;base=RLAW073&amp;n=436091&amp;date=05.09.2025&amp;dst=100005&amp;field=134" TargetMode = "External"/>
	<Relationship Id="rId20" Type="http://schemas.openxmlformats.org/officeDocument/2006/relationships/hyperlink" Target="https://login.consultant.ru/link/?req=doc&amp;base=RLAW073&amp;n=471261&amp;date=05.09.2025&amp;dst=100005&amp;field=134" TargetMode = "External"/>
	<Relationship Id="rId21" Type="http://schemas.openxmlformats.org/officeDocument/2006/relationships/hyperlink" Target="https://login.consultant.ru/link/?req=doc&amp;base=RLAW073&amp;n=450614&amp;date=05.09.2025&amp;dst=100486&amp;field=134" TargetMode = "External"/>
	<Relationship Id="rId22" Type="http://schemas.openxmlformats.org/officeDocument/2006/relationships/hyperlink" Target="https://login.consultant.ru/link/?req=doc&amp;base=RLAW073&amp;n=450614&amp;date=05.09.2025&amp;dst=100613&amp;field=134" TargetMode = "External"/>
	<Relationship Id="rId23" Type="http://schemas.openxmlformats.org/officeDocument/2006/relationships/hyperlink" Target="https://login.consultant.ru/link/?req=doc&amp;base=RLAW073&amp;n=428839&amp;date=05.09.2025&amp;dst=100008&amp;field=134" TargetMode = "External"/>
	<Relationship Id="rId24" Type="http://schemas.openxmlformats.org/officeDocument/2006/relationships/hyperlink" Target="https://login.consultant.ru/link/?req=doc&amp;base=RLAW073&amp;n=428839&amp;date=05.09.2025&amp;dst=100010&amp;field=134" TargetMode = "External"/>
	<Relationship Id="rId25" Type="http://schemas.openxmlformats.org/officeDocument/2006/relationships/hyperlink" Target="https://login.consultant.ru/link/?req=doc&amp;base=RLAW073&amp;n=206276&amp;date=05.09.2025" TargetMode = "External"/>
	<Relationship Id="rId26" Type="http://schemas.openxmlformats.org/officeDocument/2006/relationships/hyperlink" Target="https://login.consultant.ru/link/?req=doc&amp;base=RLAW073&amp;n=191551&amp;date=05.09.2025" TargetMode = "External"/>
	<Relationship Id="rId27" Type="http://schemas.openxmlformats.org/officeDocument/2006/relationships/hyperlink" Target="https://login.consultant.ru/link/?req=doc&amp;base=RLAW073&amp;n=201149&amp;date=05.09.2025" TargetMode = "External"/>
	<Relationship Id="rId28" Type="http://schemas.openxmlformats.org/officeDocument/2006/relationships/hyperlink" Target="https://login.consultant.ru/link/?req=doc&amp;base=RLAW073&amp;n=206121&amp;date=05.09.2025" TargetMode = "External"/>
	<Relationship Id="rId29" Type="http://schemas.openxmlformats.org/officeDocument/2006/relationships/hyperlink" Target="https://login.consultant.ru/link/?req=doc&amp;base=RLAW073&amp;n=428839&amp;date=05.09.2025&amp;dst=100011&amp;field=134" TargetMode = "External"/>
	<Relationship Id="rId30" Type="http://schemas.openxmlformats.org/officeDocument/2006/relationships/hyperlink" Target="https://login.consultant.ru/link/?req=doc&amp;base=RLAW073&amp;n=436091&amp;date=05.09.2025&amp;dst=100005&amp;field=134" TargetMode = "External"/>
	<Relationship Id="rId31" Type="http://schemas.openxmlformats.org/officeDocument/2006/relationships/hyperlink" Target="https://login.consultant.ru/link/?req=doc&amp;base=RLAW073&amp;n=471261&amp;date=05.09.2025&amp;dst=100005&amp;field=134" TargetMode = "External"/>
	<Relationship Id="rId32" Type="http://schemas.openxmlformats.org/officeDocument/2006/relationships/hyperlink" Target="https://login.consultant.ru/link/?req=doc&amp;base=RLAW073&amp;n=460235&amp;date=05.09.2025" TargetMode = "External"/>
	<Relationship Id="rId33" Type="http://schemas.openxmlformats.org/officeDocument/2006/relationships/hyperlink" Target="https://login.consultant.ru/link/?req=doc&amp;base=RLAW073&amp;n=471261&amp;date=05.09.2025&amp;dst=100011&amp;field=134" TargetMode = "External"/>
	<Relationship Id="rId34" Type="http://schemas.openxmlformats.org/officeDocument/2006/relationships/hyperlink" Target="https://login.consultant.ru/link/?req=doc&amp;base=RLAW073&amp;n=471261&amp;date=05.09.2025&amp;dst=100013&amp;field=134" TargetMode = "External"/>
	<Relationship Id="rId35" Type="http://schemas.openxmlformats.org/officeDocument/2006/relationships/hyperlink" Target="https://login.consultant.ru/link/?req=doc&amp;base=LAW&amp;n=512393&amp;date=05.09.2025" TargetMode = "External"/>
	<Relationship Id="rId36" Type="http://schemas.openxmlformats.org/officeDocument/2006/relationships/hyperlink" Target="https://login.consultant.ru/link/?req=doc&amp;base=RLAW073&amp;n=471261&amp;date=05.09.2025&amp;dst=100015&amp;field=134" TargetMode = "External"/>
	<Relationship Id="rId37" Type="http://schemas.openxmlformats.org/officeDocument/2006/relationships/hyperlink" Target="https://login.consultant.ru/link/?req=doc&amp;base=RLAW073&amp;n=460235&amp;date=05.09.2025" TargetMode = "External"/>
	<Relationship Id="rId38" Type="http://schemas.openxmlformats.org/officeDocument/2006/relationships/hyperlink" Target="https://login.consultant.ru/link/?req=doc&amp;base=RLAW073&amp;n=460235&amp;date=05.09.2025" TargetMode = "External"/>
	<Relationship Id="rId39" Type="http://schemas.openxmlformats.org/officeDocument/2006/relationships/hyperlink" Target="https://login.consultant.ru/link/?req=doc&amp;base=RLAW073&amp;n=460235&amp;date=05.09.2025" TargetMode = "External"/>
	<Relationship Id="rId40" Type="http://schemas.openxmlformats.org/officeDocument/2006/relationships/hyperlink" Target="https://login.consultant.ru/link/?req=doc&amp;base=RLAW073&amp;n=428957&amp;date=05.09.2025" TargetMode = "External"/>
	<Relationship Id="rId41" Type="http://schemas.openxmlformats.org/officeDocument/2006/relationships/hyperlink" Target="https://login.consultant.ru/link/?req=doc&amp;base=RLAW073&amp;n=471261&amp;date=05.09.2025&amp;dst=100017&amp;field=134" TargetMode = "External"/>
	<Relationship Id="rId42" Type="http://schemas.openxmlformats.org/officeDocument/2006/relationships/hyperlink" Target="https://login.consultant.ru/link/?req=doc&amp;base=RLAW073&amp;n=436091&amp;date=05.09.2025&amp;dst=100005&amp;field=134" TargetMode = "External"/>
	<Relationship Id="rId43" Type="http://schemas.openxmlformats.org/officeDocument/2006/relationships/hyperlink" Target="https://login.consultant.ru/link/?req=doc&amp;base=RLAW073&amp;n=471261&amp;date=05.09.2025&amp;dst=100018&amp;field=134" TargetMode = "External"/>
	<Relationship Id="rId44" Type="http://schemas.openxmlformats.org/officeDocument/2006/relationships/hyperlink" Target="https://login.consultant.ru/link/?req=doc&amp;base=RLAW073&amp;n=471261&amp;date=05.09.2025&amp;dst=100020&amp;field=134" TargetMode = "External"/>
	<Relationship Id="rId45" Type="http://schemas.openxmlformats.org/officeDocument/2006/relationships/hyperlink" Target="https://login.consultant.ru/link/?req=doc&amp;base=RLAW073&amp;n=471261&amp;date=05.09.2025&amp;dst=100021&amp;field=134" TargetMode = "External"/>
	<Relationship Id="rId46" Type="http://schemas.openxmlformats.org/officeDocument/2006/relationships/hyperlink" Target="https://login.consultant.ru/link/?req=doc&amp;base=RLAW073&amp;n=428957&amp;date=05.09.2025" TargetMode = "External"/>
	<Relationship Id="rId47" Type="http://schemas.openxmlformats.org/officeDocument/2006/relationships/hyperlink" Target="https://login.consultant.ru/link/?req=doc&amp;base=RLAW073&amp;n=471261&amp;date=05.09.2025&amp;dst=100024&amp;field=134" TargetMode = "External"/>
	<Relationship Id="rId48" Type="http://schemas.openxmlformats.org/officeDocument/2006/relationships/hyperlink" Target="https://login.consultant.ru/link/?req=doc&amp;base=RLAW073&amp;n=444892&amp;date=05.09.2025" TargetMode = "External"/>
	<Relationship Id="rId49" Type="http://schemas.openxmlformats.org/officeDocument/2006/relationships/hyperlink" Target="https://login.consultant.ru/link/?req=doc&amp;base=RLAW073&amp;n=467209&amp;date=05.09.2025" TargetMode = "External"/>
	<Relationship Id="rId50" Type="http://schemas.openxmlformats.org/officeDocument/2006/relationships/hyperlink" Target="https://login.consultant.ru/link/?req=doc&amp;base=RLAW073&amp;n=471261&amp;date=05.09.2025&amp;dst=100025&amp;field=134" TargetMode = "External"/>
	<Relationship Id="rId51" Type="http://schemas.openxmlformats.org/officeDocument/2006/relationships/hyperlink" Target="https://login.consultant.ru/link/?req=doc&amp;base=RLAW073&amp;n=460235&amp;date=05.09.2025" TargetMode = "External"/>
	<Relationship Id="rId52" Type="http://schemas.openxmlformats.org/officeDocument/2006/relationships/hyperlink" Target="https://login.consultant.ru/link/?req=doc&amp;base=LAW&amp;n=512393&amp;date=05.09.2025" TargetMode = "External"/>
	<Relationship Id="rId53" Type="http://schemas.openxmlformats.org/officeDocument/2006/relationships/hyperlink" Target="https://login.consultant.ru/link/?req=doc&amp;base=RLAW073&amp;n=451093&amp;date=05.09.2025&amp;dst=100067&amp;field=134" TargetMode = "External"/>
	<Relationship Id="rId54" Type="http://schemas.openxmlformats.org/officeDocument/2006/relationships/hyperlink" Target="https://login.consultant.ru/link/?req=doc&amp;base=RLAW073&amp;n=406150&amp;date=05.09.2025" TargetMode = "External"/>
	<Relationship Id="rId55" Type="http://schemas.openxmlformats.org/officeDocument/2006/relationships/hyperlink" Target="https://login.consultant.ru/link/?req=doc&amp;base=RLAW073&amp;n=461820&amp;date=05.09.2025" TargetMode = "External"/>
	<Relationship Id="rId56" Type="http://schemas.openxmlformats.org/officeDocument/2006/relationships/hyperlink" Target="https://login.consultant.ru/link/?req=doc&amp;base=RLAW073&amp;n=451093&amp;date=05.09.2025&amp;dst=100067&amp;field=134" TargetMode = "External"/>
	<Relationship Id="rId57" Type="http://schemas.openxmlformats.org/officeDocument/2006/relationships/hyperlink" Target="https://login.consultant.ru/link/?req=doc&amp;base=RLAW073&amp;n=471261&amp;date=05.09.2025&amp;dst=100033&amp;field=134" TargetMode = "External"/>
	<Relationship Id="rId58" Type="http://schemas.openxmlformats.org/officeDocument/2006/relationships/hyperlink" Target="https://login.consultant.ru/link/?req=doc&amp;base=RLAW073&amp;n=428839&amp;date=05.09.2025&amp;dst=1000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Рязани от 22.06.2016 N 2694
(ред. от 29.08.2025)
"Об утверждении Положения об оплате проезда в городском пассажирском транспорте общего пользования муниципального образования - городской округ город Рязань"</dc:title>
  <dcterms:created xsi:type="dcterms:W3CDTF">2025-09-05T10:08:16Z</dcterms:created>
</cp:coreProperties>
</file>