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Решение Рязанской городской Думы от 27.06.2024 N 179-IV</w:t>
              <w:br/>
              <w:t xml:space="preserve">(ред. от 25.12.2025)</w:t>
              <w:br/>
              <w:t xml:space="preserve">"Об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br/>
              <w:t xml:space="preserve">(вместе с "Порядком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транспортной карты")</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РЯЗАНСКАЯ ГОРОДСКАЯ ДУМА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27 июня 2024 г. N 179-IV</w:t>
      </w:r>
    </w:p>
    <w:p>
      <w:pPr>
        <w:pStyle w:val="2"/>
        <w:jc w:val="center"/>
      </w:pPr>
      <w:r>
        <w:rPr>
          <w:sz w:val="24"/>
        </w:rPr>
      </w:r>
    </w:p>
    <w:p>
      <w:pPr>
        <w:pStyle w:val="2"/>
        <w:jc w:val="center"/>
      </w:pPr>
      <w:r>
        <w:rPr>
          <w:sz w:val="24"/>
        </w:rPr>
        <w:t xml:space="preserve">ОБ УСТАНОВЛЕНИИ ДОПОЛНИТЕЛЬНЫХ МЕР СОЦИАЛЬНОЙ ПОДДЕРЖКИ</w:t>
      </w:r>
    </w:p>
    <w:p>
      <w:pPr>
        <w:pStyle w:val="2"/>
        <w:jc w:val="center"/>
      </w:pPr>
      <w:r>
        <w:rPr>
          <w:sz w:val="24"/>
        </w:rPr>
        <w:t xml:space="preserve">И СОЦИАЛЬНОЙ ПОМОЩИ ДЛЯ ОТДЕЛЬНЫХ КАТЕГОРИЙ ГРАЖДАН</w:t>
      </w:r>
    </w:p>
    <w:p>
      <w:pPr>
        <w:pStyle w:val="2"/>
        <w:jc w:val="center"/>
      </w:pPr>
      <w:r>
        <w:rPr>
          <w:sz w:val="24"/>
        </w:rPr>
        <w:t xml:space="preserve">ПО ПОЛНОМУ ИЛИ ЧАСТИЧНОМУ ОСВОБОЖДЕНИЮ ОТ ПЛАТЫ ЗА УСЛУГИ</w:t>
      </w:r>
    </w:p>
    <w:p>
      <w:pPr>
        <w:pStyle w:val="2"/>
        <w:jc w:val="center"/>
      </w:pPr>
      <w:r>
        <w:rPr>
          <w:sz w:val="24"/>
        </w:rPr>
        <w:t xml:space="preserve">ПО ПЕРЕВОЗКЕ ПАССАЖИРОВ АВТОМОБИЛЬНЫМ И НАЗЕМНЫМ</w:t>
      </w:r>
    </w:p>
    <w:p>
      <w:pPr>
        <w:pStyle w:val="2"/>
        <w:jc w:val="center"/>
      </w:pPr>
      <w:r>
        <w:rPr>
          <w:sz w:val="24"/>
        </w:rPr>
        <w:t xml:space="preserve">ЭЛЕКТРИЧЕСКИМ ТРАНСПОРТОМ ОБЩЕГО ПОЛЬЗОВАНИЯ ГОРОДА РЯЗАНИ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Рязанской городской Думы</w:t>
            </w:r>
          </w:p>
          <w:p>
            <w:pPr>
              <w:pStyle w:val="0"/>
              <w:jc w:val="center"/>
            </w:pPr>
            <w:r>
              <w:rPr>
                <w:sz w:val="24"/>
                <w:color w:val="392c69"/>
              </w:rPr>
              <w:t xml:space="preserve">от 24.10.2024 </w:t>
            </w:r>
            <w:hyperlink w:history="0" r:id="rId8" w:tooltip="Решение Рязанской городской Думы от 24.10.2024 N 272-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272-IV</w:t>
              </w:r>
            </w:hyperlink>
            <w:r>
              <w:rPr>
                <w:sz w:val="24"/>
                <w:color w:val="392c69"/>
              </w:rPr>
              <w:t xml:space="preserve">, от 25.12.2025 </w:t>
            </w:r>
            <w:hyperlink w:history="0" r:id="rId9"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317-IV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Рассмотрев обращение главы администрации города Рязани от 21.06.2024 N 06/1/1/1-04/1328-Ин, руководствуясь Федеральным </w:t>
      </w:r>
      <w:hyperlink w:history="0"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20.03.2025 N 33-ФЗ "Об общих принципах организации местного самоуправления в единой системе публичной власти", </w:t>
      </w:r>
      <w:hyperlink w:history="0" r:id="rId11"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Уставом</w:t>
        </w:r>
      </w:hyperlink>
      <w:r>
        <w:rPr>
          <w:sz w:val="24"/>
        </w:rPr>
        <w:t xml:space="preserve"> муниципального образования - городской округ город Рязань, Рязанская городская Дума решила:</w:t>
      </w:r>
    </w:p>
    <w:p>
      <w:pPr>
        <w:pStyle w:val="0"/>
        <w:jc w:val="both"/>
      </w:pPr>
      <w:r>
        <w:rPr>
          <w:sz w:val="24"/>
        </w:rPr>
        <w:t xml:space="preserve">(в ред. </w:t>
      </w:r>
      <w:hyperlink w:history="0" r:id="rId12"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25.12.2025 N 317-IV)</w:t>
      </w:r>
    </w:p>
    <w:p>
      <w:pPr>
        <w:pStyle w:val="0"/>
        <w:spacing w:before="240" w:lineRule="auto"/>
        <w:ind w:firstLine="540"/>
        <w:jc w:val="both"/>
      </w:pPr>
      <w:r>
        <w:rPr>
          <w:sz w:val="24"/>
        </w:rPr>
        <w:t xml:space="preserve">1. Установить дополнительные </w:t>
      </w:r>
      <w:hyperlink w:history="0" w:anchor="P46" w:tooltip="ДОПОЛНИТЕЛЬНЫЕ МЕРЫ">
        <w:r>
          <w:rPr>
            <w:sz w:val="24"/>
            <w:color w:val="0000ff"/>
          </w:rPr>
          <w:t xml:space="preserve">меры</w:t>
        </w:r>
      </w:hyperlink>
      <w:r>
        <w:rPr>
          <w:sz w:val="24"/>
        </w:rPr>
        <w:t xml:space="preserve">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согласно приложению N 1 к настоящему решению.</w:t>
      </w:r>
    </w:p>
    <w:p>
      <w:pPr>
        <w:pStyle w:val="0"/>
        <w:spacing w:before="240" w:lineRule="auto"/>
        <w:ind w:firstLine="540"/>
        <w:jc w:val="both"/>
      </w:pPr>
      <w:r>
        <w:rPr>
          <w:sz w:val="24"/>
        </w:rPr>
        <w:t xml:space="preserve">2. Утвердить </w:t>
      </w:r>
      <w:hyperlink w:history="0" w:anchor="P103" w:tooltip="ПОРЯДОК">
        <w:r>
          <w:rPr>
            <w:sz w:val="24"/>
            <w:color w:val="0000ff"/>
          </w:rPr>
          <w:t xml:space="preserve">Порядок</w:t>
        </w:r>
      </w:hyperlink>
      <w:r>
        <w:rPr>
          <w:sz w:val="24"/>
        </w:rPr>
        <w:t xml:space="preserve"> определения стоимости тарифа для пополнения ресурса транспортного приложения единой цифровой карты жителя Рязанской области или транспортной карты согласно приложению N 2 к настоящему решению.</w:t>
      </w:r>
    </w:p>
    <w:p>
      <w:pPr>
        <w:pStyle w:val="0"/>
        <w:spacing w:before="240" w:lineRule="auto"/>
        <w:ind w:firstLine="540"/>
        <w:jc w:val="both"/>
      </w:pPr>
      <w:r>
        <w:rPr>
          <w:sz w:val="24"/>
        </w:rPr>
        <w:t xml:space="preserve">3. Расходы, связанные с обеспечением полного или частичного освобождения от платы за услуги по перевозке пассажиров автомобильным и наземным электрическим транспортом общего пользования города Рязани, ежегодно осуществлять в пределах средств, предусмотренных бюджетом города Рязани на соответствующий год на указанные цели.</w:t>
      </w:r>
    </w:p>
    <w:p>
      <w:pPr>
        <w:pStyle w:val="0"/>
        <w:spacing w:before="240" w:lineRule="auto"/>
        <w:ind w:firstLine="540"/>
        <w:jc w:val="both"/>
      </w:pPr>
      <w:r>
        <w:rPr>
          <w:sz w:val="24"/>
        </w:rPr>
        <w:t xml:space="preserve">4. Признать утратившими силу решения Рязанской городской Думы:</w:t>
      </w:r>
    </w:p>
    <w:p>
      <w:pPr>
        <w:pStyle w:val="0"/>
        <w:spacing w:before="240" w:lineRule="auto"/>
        <w:ind w:firstLine="540"/>
        <w:jc w:val="both"/>
      </w:pPr>
      <w:r>
        <w:rPr>
          <w:sz w:val="24"/>
        </w:rPr>
        <w:t xml:space="preserve">- от 23.11.2017 </w:t>
      </w:r>
      <w:hyperlink w:history="0" r:id="rId13" w:tooltip="Решение Рязанской городской Думы от 23.11.2017 N 418-II (ред. от 25.12.2023)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418-II</w:t>
        </w:r>
      </w:hyperlink>
      <w:r>
        <w:rPr>
          <w:sz w:val="24"/>
        </w:rPr>
        <w:t xml:space="preserve">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25.12.2018 </w:t>
      </w:r>
      <w:hyperlink w:history="0" r:id="rId14" w:tooltip="Решение Рязанской городской Думы от 25.12.2018 N 135-III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135-III</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21.02.2019 </w:t>
      </w:r>
      <w:hyperlink w:history="0" r:id="rId15" w:tooltip="Решение Рязанской городской Думы от 21.02.2019 N 37-III &quot;О внесении изменения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37-III</w:t>
        </w:r>
      </w:hyperlink>
      <w:r>
        <w:rPr>
          <w:sz w:val="24"/>
        </w:rPr>
        <w:t xml:space="preserve"> "О внесении изменения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12.12.2019 </w:t>
      </w:r>
      <w:hyperlink w:history="0" r:id="rId16" w:tooltip="Решение Рязанской городской Думы от 12.12.2019 N 388-III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388-III</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17.12.2020 </w:t>
      </w:r>
      <w:hyperlink w:history="0" r:id="rId17" w:tooltip="Решение Рязанской городской Думы от 17.12.2020 N 240-III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240-III</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23.12.2021 </w:t>
      </w:r>
      <w:hyperlink w:history="0" r:id="rId18" w:tooltip="Решение Рязанской городской Думы от 23.12.2021 N 238-III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238-III</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22.12.2022 </w:t>
      </w:r>
      <w:hyperlink w:history="0" r:id="rId19" w:tooltip="Решение Рязанской городской Думы от 22.12.2022 N 334-III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334-III</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от 25.12.2023 </w:t>
      </w:r>
      <w:hyperlink w:history="0" r:id="rId20" w:tooltip="Решение Рязанской городской Думы от 25.12.2023 N 108-IV &quot;О внесении изменений в решение Рязанской городской Думы от 23.11.2017 N 418-II &quot;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 Утратил силу или отменен {КонсультантПлюс}">
        <w:r>
          <w:rPr>
            <w:sz w:val="24"/>
            <w:color w:val="0000ff"/>
          </w:rPr>
          <w:t xml:space="preserve">N 108-IV</w:t>
        </w:r>
      </w:hyperlink>
      <w:r>
        <w:rPr>
          <w:sz w:val="24"/>
        </w:rPr>
        <w:t xml:space="preserve"> "О внесении изменений в решение Рязанской городской Думы от 23.11.2017 N 418-II "Об установлении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5. Настоящее решение вступает в силу с 1 августа 2024 года.</w:t>
      </w:r>
    </w:p>
    <w:p>
      <w:pPr>
        <w:pStyle w:val="0"/>
        <w:spacing w:before="240" w:lineRule="auto"/>
        <w:ind w:firstLine="540"/>
        <w:jc w:val="both"/>
      </w:pPr>
      <w:r>
        <w:rPr>
          <w:sz w:val="24"/>
        </w:rPr>
        <w:t xml:space="preserve">6. Опубликовать настоящее решение в газете "Рязанские ведомости" и разместить на официальном сайте Рязанской городской Думы в сети Интернет.</w:t>
      </w:r>
    </w:p>
    <w:p>
      <w:pPr>
        <w:pStyle w:val="0"/>
        <w:spacing w:before="240" w:lineRule="auto"/>
        <w:ind w:firstLine="540"/>
        <w:jc w:val="both"/>
      </w:pPr>
      <w:r>
        <w:rPr>
          <w:sz w:val="24"/>
        </w:rPr>
        <w:t xml:space="preserve">7. Контроль за исполнением настоящего решения возложить на комитет Рязанской городской Думы, к основным направлениям деятельности которого относятся вопросы бюджета и налогов.</w:t>
      </w:r>
    </w:p>
    <w:p>
      <w:pPr>
        <w:pStyle w:val="0"/>
        <w:jc w:val="both"/>
      </w:pPr>
      <w:r>
        <w:rPr>
          <w:sz w:val="24"/>
        </w:rPr>
      </w:r>
    </w:p>
    <w:p>
      <w:pPr>
        <w:pStyle w:val="0"/>
        <w:jc w:val="right"/>
      </w:pPr>
      <w:r>
        <w:rPr>
          <w:sz w:val="24"/>
        </w:rPr>
        <w:t xml:space="preserve">Глава муниципального образования,</w:t>
      </w:r>
    </w:p>
    <w:p>
      <w:pPr>
        <w:pStyle w:val="0"/>
        <w:jc w:val="right"/>
      </w:pPr>
      <w:r>
        <w:rPr>
          <w:sz w:val="24"/>
        </w:rPr>
        <w:t xml:space="preserve">председатель Рязанской городской Думы</w:t>
      </w:r>
    </w:p>
    <w:p>
      <w:pPr>
        <w:pStyle w:val="0"/>
        <w:jc w:val="right"/>
      </w:pPr>
      <w:r>
        <w:rPr>
          <w:sz w:val="24"/>
        </w:rPr>
        <w:t xml:space="preserve">Т.Н.ПАНФИЛОВА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решению</w:t>
      </w:r>
    </w:p>
    <w:p>
      <w:pPr>
        <w:pStyle w:val="0"/>
        <w:jc w:val="right"/>
      </w:pPr>
      <w:r>
        <w:rPr>
          <w:sz w:val="24"/>
        </w:rPr>
        <w:t xml:space="preserve">Рязанской городской Думы</w:t>
      </w:r>
    </w:p>
    <w:p>
      <w:pPr>
        <w:pStyle w:val="0"/>
        <w:jc w:val="right"/>
      </w:pPr>
      <w:r>
        <w:rPr>
          <w:sz w:val="24"/>
        </w:rPr>
        <w:t xml:space="preserve">от 27 июня 2024 г. N 179-IV</w:t>
      </w:r>
    </w:p>
    <w:p>
      <w:pPr>
        <w:pStyle w:val="0"/>
        <w:jc w:val="both"/>
      </w:pPr>
      <w:r>
        <w:rPr>
          <w:sz w:val="24"/>
        </w:rPr>
      </w:r>
    </w:p>
    <w:bookmarkStart w:id="46" w:name="P46"/>
    <w:bookmarkEnd w:id="46"/>
    <w:p>
      <w:pPr>
        <w:pStyle w:val="2"/>
        <w:jc w:val="center"/>
      </w:pPr>
      <w:r>
        <w:rPr>
          <w:sz w:val="24"/>
        </w:rPr>
        <w:t xml:space="preserve">ДОПОЛНИТЕЛЬНЫЕ МЕРЫ</w:t>
      </w:r>
    </w:p>
    <w:p>
      <w:pPr>
        <w:pStyle w:val="2"/>
        <w:jc w:val="center"/>
      </w:pPr>
      <w:r>
        <w:rPr>
          <w:sz w:val="24"/>
        </w:rPr>
        <w:t xml:space="preserve">СОЦИАЛЬНОЙ ПОДДЕРЖКИ И СОЦИАЛЬНОЙ ПОМОЩИ ДЛЯ ОТДЕЛЬНЫХ</w:t>
      </w:r>
    </w:p>
    <w:p>
      <w:pPr>
        <w:pStyle w:val="2"/>
        <w:jc w:val="center"/>
      </w:pPr>
      <w:r>
        <w:rPr>
          <w:sz w:val="24"/>
        </w:rPr>
        <w:t xml:space="preserve">КАТЕГОРИЙ ГРАЖДАН ПО ПОЛНОМУ ИЛИ ЧАСТИЧНОМУ ОСВОБОЖДЕНИЮ</w:t>
      </w:r>
    </w:p>
    <w:p>
      <w:pPr>
        <w:pStyle w:val="2"/>
        <w:jc w:val="center"/>
      </w:pPr>
      <w:r>
        <w:rPr>
          <w:sz w:val="24"/>
        </w:rPr>
        <w:t xml:space="preserve">ОТ ПЛАТЫ ЗА УСЛУГИ ПО ПЕРЕВОЗКЕ ПАССАЖИРОВ АВТОМОБИЛЬНЫМ</w:t>
      </w:r>
    </w:p>
    <w:p>
      <w:pPr>
        <w:pStyle w:val="2"/>
        <w:jc w:val="center"/>
      </w:pPr>
      <w:r>
        <w:rPr>
          <w:sz w:val="24"/>
        </w:rPr>
        <w:t xml:space="preserve">И НАЗЕМНЫМ ЭЛЕКТРИЧЕСКИМ ТРАНСПОРТОМ ОБЩЕГО ПОЛЬЗОВАНИЯ</w:t>
      </w:r>
    </w:p>
    <w:p>
      <w:pPr>
        <w:pStyle w:val="2"/>
        <w:jc w:val="center"/>
      </w:pPr>
      <w:r>
        <w:rPr>
          <w:sz w:val="24"/>
        </w:rPr>
        <w:t xml:space="preserve">ГОРОДА РЯЗАНИ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Рязанской городской Думы</w:t>
            </w:r>
          </w:p>
          <w:p>
            <w:pPr>
              <w:pStyle w:val="0"/>
              <w:jc w:val="center"/>
            </w:pPr>
            <w:r>
              <w:rPr>
                <w:sz w:val="24"/>
                <w:color w:val="392c69"/>
              </w:rPr>
              <w:t xml:space="preserve">от 24.10.2024 </w:t>
            </w:r>
            <w:hyperlink w:history="0" r:id="rId21" w:tooltip="Решение Рязанской городской Думы от 24.10.2024 N 272-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272-IV</w:t>
              </w:r>
            </w:hyperlink>
            <w:r>
              <w:rPr>
                <w:sz w:val="24"/>
                <w:color w:val="392c69"/>
              </w:rPr>
              <w:t xml:space="preserve">, от 25.12.2025 </w:t>
            </w:r>
            <w:hyperlink w:history="0" r:id="rId22"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317-IV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Установить дополнительные меры социальной поддержки и социальной помощи по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на муниципальных маршрутах регулярных перевозок следующим категориям граждан: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w:t>
            </w:r>
          </w:p>
          <w:p>
            <w:pPr>
              <w:pStyle w:val="0"/>
              <w:jc w:val="center"/>
            </w:pPr>
            <w:r>
              <w:rPr>
                <w:sz w:val="24"/>
              </w:rPr>
              <w:t xml:space="preserve">п/п</w:t>
            </w:r>
          </w:p>
        </w:tc>
        <w:tc>
          <w:tcPr>
            <w:tcW w:w="8447" w:type="dxa"/>
          </w:tcPr>
          <w:p>
            <w:pPr>
              <w:pStyle w:val="0"/>
              <w:jc w:val="center"/>
            </w:pPr>
            <w:r>
              <w:rPr>
                <w:sz w:val="24"/>
              </w:rPr>
              <w:t xml:space="preserve">Категории граждан</w:t>
            </w:r>
          </w:p>
        </w:tc>
      </w:tr>
      <w:tr>
        <w:tc>
          <w:tcPr>
            <w:tcW w:w="624" w:type="dxa"/>
          </w:tcPr>
          <w:p>
            <w:pPr>
              <w:pStyle w:val="0"/>
              <w:jc w:val="center"/>
            </w:pPr>
            <w:r>
              <w:rPr>
                <w:sz w:val="24"/>
              </w:rPr>
              <w:t xml:space="preserve">1.1</w:t>
            </w:r>
          </w:p>
        </w:tc>
        <w:tc>
          <w:tcPr>
            <w:tcW w:w="8447" w:type="dxa"/>
          </w:tcPr>
          <w:p>
            <w:pPr>
              <w:pStyle w:val="0"/>
            </w:pPr>
            <w:r>
              <w:rPr>
                <w:sz w:val="24"/>
              </w:rPr>
              <w:t xml:space="preserve">учащиеся общеобразовательных организаций города Рязани</w:t>
            </w:r>
          </w:p>
        </w:tc>
      </w:tr>
      <w:tr>
        <w:tc>
          <w:tcPr>
            <w:tcW w:w="624" w:type="dxa"/>
          </w:tcPr>
          <w:p>
            <w:pPr>
              <w:pStyle w:val="0"/>
              <w:jc w:val="center"/>
            </w:pPr>
            <w:r>
              <w:rPr>
                <w:sz w:val="24"/>
              </w:rPr>
              <w:t xml:space="preserve">1.2</w:t>
            </w:r>
          </w:p>
        </w:tc>
        <w:tc>
          <w:tcPr>
            <w:tcW w:w="8447" w:type="dxa"/>
          </w:tcPr>
          <w:p>
            <w:pPr>
              <w:pStyle w:val="0"/>
            </w:pPr>
            <w:r>
              <w:rPr>
                <w:sz w:val="24"/>
              </w:rPr>
              <w:t xml:space="preserve">учащиеся общеобразовательных организаций города Рязани, являющиеся членами малообеспеченных семей</w:t>
            </w:r>
          </w:p>
        </w:tc>
      </w:tr>
      <w:tr>
        <w:tc>
          <w:tcPr>
            <w:tcW w:w="624" w:type="dxa"/>
          </w:tcPr>
          <w:p>
            <w:pPr>
              <w:pStyle w:val="0"/>
              <w:jc w:val="center"/>
            </w:pPr>
            <w:r>
              <w:rPr>
                <w:sz w:val="24"/>
              </w:rPr>
              <w:t xml:space="preserve">1.3</w:t>
            </w:r>
          </w:p>
        </w:tc>
        <w:tc>
          <w:tcPr>
            <w:tcW w:w="8447" w:type="dxa"/>
          </w:tcPr>
          <w:p>
            <w:pPr>
              <w:pStyle w:val="0"/>
            </w:pPr>
            <w:r>
              <w:rPr>
                <w:sz w:val="24"/>
              </w:rPr>
              <w:t xml:space="preserve">студенты образовательных организаций города Рязани очной формы обучения</w:t>
            </w:r>
          </w:p>
        </w:tc>
      </w:tr>
      <w:tr>
        <w:tc>
          <w:tcPr>
            <w:tcW w:w="624" w:type="dxa"/>
          </w:tcPr>
          <w:p>
            <w:pPr>
              <w:pStyle w:val="0"/>
              <w:jc w:val="center"/>
            </w:pPr>
            <w:r>
              <w:rPr>
                <w:sz w:val="24"/>
              </w:rPr>
              <w:t xml:space="preserve">1.4</w:t>
            </w:r>
          </w:p>
        </w:tc>
        <w:tc>
          <w:tcPr>
            <w:tcW w:w="8447" w:type="dxa"/>
          </w:tcPr>
          <w:p>
            <w:pPr>
              <w:pStyle w:val="0"/>
            </w:pPr>
            <w:r>
              <w:rPr>
                <w:sz w:val="24"/>
              </w:rPr>
              <w:t xml:space="preserve">студенты образовательных организаций города Рязани очной формы обучения, являющиеся членами студенческих семей, имеющие детей &lt;1&gt;</w:t>
            </w:r>
          </w:p>
        </w:tc>
      </w:tr>
      <w:tr>
        <w:tc>
          <w:tcPr>
            <w:tcW w:w="624" w:type="dxa"/>
          </w:tcPr>
          <w:p>
            <w:pPr>
              <w:pStyle w:val="0"/>
              <w:jc w:val="center"/>
            </w:pPr>
            <w:r>
              <w:rPr>
                <w:sz w:val="24"/>
              </w:rPr>
              <w:t xml:space="preserve">1.5</w:t>
            </w:r>
          </w:p>
        </w:tc>
        <w:tc>
          <w:tcPr>
            <w:tcW w:w="8447" w:type="dxa"/>
          </w:tcPr>
          <w:p>
            <w:pPr>
              <w:pStyle w:val="0"/>
            </w:pPr>
            <w:r>
              <w:rPr>
                <w:sz w:val="24"/>
              </w:rPr>
              <w:t xml:space="preserve">студенты образовательных организаций города Рязани очной формы обучения, являющиеся членами многодетных неполных семей &lt;2&gt;</w:t>
            </w:r>
          </w:p>
        </w:tc>
      </w:tr>
      <w:tr>
        <w:tc>
          <w:tcPr>
            <w:tcW w:w="624" w:type="dxa"/>
          </w:tcPr>
          <w:p>
            <w:pPr>
              <w:pStyle w:val="0"/>
              <w:jc w:val="center"/>
            </w:pPr>
            <w:r>
              <w:rPr>
                <w:sz w:val="24"/>
              </w:rPr>
              <w:t xml:space="preserve">1.6</w:t>
            </w:r>
          </w:p>
        </w:tc>
        <w:tc>
          <w:tcPr>
            <w:tcW w:w="8447" w:type="dxa"/>
          </w:tcPr>
          <w:p>
            <w:pPr>
              <w:pStyle w:val="0"/>
            </w:pPr>
            <w:r>
              <w:rPr>
                <w:sz w:val="24"/>
              </w:rPr>
              <w:t xml:space="preserve">студенты образовательных организаций города Рязани очной формы обучения, являющиеся членами малообеспеченных семей &lt;3&gt;</w:t>
            </w:r>
          </w:p>
        </w:tc>
      </w:tr>
      <w:tr>
        <w:tc>
          <w:tcPr>
            <w:tcW w:w="624" w:type="dxa"/>
          </w:tcPr>
          <w:p>
            <w:pPr>
              <w:pStyle w:val="0"/>
              <w:jc w:val="center"/>
            </w:pPr>
            <w:r>
              <w:rPr>
                <w:sz w:val="24"/>
              </w:rPr>
              <w:t xml:space="preserve">1.7</w:t>
            </w:r>
          </w:p>
        </w:tc>
        <w:tc>
          <w:tcPr>
            <w:tcW w:w="8447" w:type="dxa"/>
          </w:tcPr>
          <w:p>
            <w:pPr>
              <w:pStyle w:val="0"/>
            </w:pPr>
            <w:r>
              <w:rPr>
                <w:sz w:val="24"/>
              </w:rPr>
              <w:t xml:space="preserve">граждане, получающие пенсию из Фонда пенсионного и социального страхования Российской Федерации, зарегистрированные по месту жительства или месту пребывания в городе Рязани</w:t>
            </w:r>
          </w:p>
        </w:tc>
      </w:tr>
      <w:tr>
        <w:tc>
          <w:tcPr>
            <w:tcW w:w="624" w:type="dxa"/>
          </w:tcPr>
          <w:p>
            <w:pPr>
              <w:pStyle w:val="0"/>
              <w:jc w:val="center"/>
            </w:pPr>
            <w:r>
              <w:rPr>
                <w:sz w:val="24"/>
              </w:rPr>
              <w:t xml:space="preserve">1.8</w:t>
            </w:r>
          </w:p>
        </w:tc>
        <w:tc>
          <w:tcPr>
            <w:tcW w:w="8447" w:type="dxa"/>
          </w:tcPr>
          <w:p>
            <w:pPr>
              <w:pStyle w:val="0"/>
            </w:pPr>
            <w:r>
              <w:rPr>
                <w:sz w:val="24"/>
              </w:rPr>
              <w:t xml:space="preserve">один родитель либо иной законный представитель из многодетной семьи, зарегистрированный по месту жительства или месту пребывания в городе Рязани</w:t>
            </w:r>
          </w:p>
        </w:tc>
      </w:tr>
      <w:tr>
        <w:tc>
          <w:tcPr>
            <w:tcW w:w="624" w:type="dxa"/>
          </w:tcPr>
          <w:p>
            <w:pPr>
              <w:pStyle w:val="0"/>
              <w:jc w:val="center"/>
            </w:pPr>
            <w:r>
              <w:rPr>
                <w:sz w:val="24"/>
              </w:rPr>
              <w:t xml:space="preserve">1.9</w:t>
            </w:r>
          </w:p>
        </w:tc>
        <w:tc>
          <w:tcPr>
            <w:tcW w:w="8447" w:type="dxa"/>
          </w:tcPr>
          <w:p>
            <w:pPr>
              <w:pStyle w:val="0"/>
            </w:pPr>
            <w:r>
              <w:rPr>
                <w:sz w:val="24"/>
              </w:rPr>
              <w:t xml:space="preserve">вдовы (вдовцы) участников ликвидации последствий катастрофы на Чернобыльской АЭС,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погибших при исполнении обязанностей военной службы (служебных обязанностей), зарегистрированные по месту жительства или месту пребывания в городе Рязани, не вступившие в повторный брак</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&lt;1&gt; студенческая семья - семья, в которой оба супруга являются студентами образовательных организаций города Рязани очной формы обучения;</w:t>
      </w:r>
    </w:p>
    <w:p>
      <w:pPr>
        <w:pStyle w:val="0"/>
        <w:spacing w:before="240" w:lineRule="auto"/>
        <w:ind w:firstLine="540"/>
        <w:jc w:val="both"/>
      </w:pPr>
      <w:r>
        <w:rPr>
          <w:sz w:val="24"/>
        </w:rPr>
        <w:t xml:space="preserve">&lt;2&gt; многодетная неполная семья - семья, имеющая в своем составе трех и более детей в возрасте до 18 лет, а также обучающихся в образовательных организациях города Рязани по очной форме обучения, но не более чем до достижения ими возраста 23 лет, которых воспитывает один из родителей (иной законный представитель), зарегистрированный по месту жительства или месту пребывания в городе Рязани;</w:t>
      </w:r>
    </w:p>
    <w:p>
      <w:pPr>
        <w:pStyle w:val="0"/>
        <w:spacing w:before="240" w:lineRule="auto"/>
        <w:ind w:firstLine="540"/>
        <w:jc w:val="both"/>
      </w:pPr>
      <w:r>
        <w:rPr>
          <w:sz w:val="24"/>
        </w:rPr>
        <w:t xml:space="preserve">&lt;3&gt; малообеспеченная семья - семья, среднедушевой доход которой не достигает величины прожиточного минимума на душу населения, установленного в Рязанской области.</w:t>
      </w:r>
    </w:p>
    <w:p>
      <w:pPr>
        <w:pStyle w:val="0"/>
        <w:jc w:val="both"/>
      </w:pPr>
      <w:r>
        <w:rPr>
          <w:sz w:val="24"/>
        </w:rPr>
      </w:r>
    </w:p>
    <w:p>
      <w:pPr>
        <w:pStyle w:val="0"/>
        <w:ind w:firstLine="540"/>
        <w:jc w:val="both"/>
      </w:pPr>
      <w:r>
        <w:rPr>
          <w:sz w:val="24"/>
        </w:rPr>
        <w:t xml:space="preserve">2. Установить дополнительные меры социальной поддержки и социальной помощи по полному освобождению от платы за услуги по перевозке пассажиров автомобильным и наземным электрическим транспортом общего пользования города Рязани на муниципальных маршрутах регулярных перевозок студенткам образовательных организаций города Рязани очной формы обучения, являющимся матерями-одиночками.</w:t>
      </w:r>
    </w:p>
    <w:p>
      <w:pPr>
        <w:pStyle w:val="0"/>
        <w:jc w:val="both"/>
      </w:pPr>
      <w:r>
        <w:rPr>
          <w:sz w:val="24"/>
        </w:rPr>
        <w:t xml:space="preserve">(п. 2 в ред. </w:t>
      </w:r>
      <w:hyperlink w:history="0" r:id="rId23"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25.12.2025 N 317-IV)</w:t>
      </w:r>
    </w:p>
    <w:p>
      <w:pPr>
        <w:pStyle w:val="0"/>
        <w:spacing w:before="240" w:lineRule="auto"/>
        <w:ind w:firstLine="540"/>
        <w:jc w:val="both"/>
      </w:pPr>
      <w:r>
        <w:rPr>
          <w:sz w:val="24"/>
        </w:rPr>
        <w:t xml:space="preserve">3. Установить фиксированное количество поездок на автомобильном и наземном электрическом транспорте общего пользования города Рязани на муниципальных маршрутах регулярных перевозок для каждой категории граждан - 50 или 90 поездок в календарном месяце (по выбору гражданина).</w:t>
      </w:r>
    </w:p>
    <w:p>
      <w:pPr>
        <w:pStyle w:val="0"/>
        <w:jc w:val="both"/>
      </w:pPr>
      <w:r>
        <w:rPr>
          <w:sz w:val="24"/>
        </w:rPr>
        <w:t xml:space="preserve">(в ред. </w:t>
      </w:r>
      <w:hyperlink w:history="0" r:id="rId24" w:tooltip="Решение Рязанской городской Думы от 24.10.2024 N 272-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24.10.2024 N 272-IV)</w:t>
      </w:r>
    </w:p>
    <w:p>
      <w:pPr>
        <w:pStyle w:val="0"/>
        <w:spacing w:before="240" w:lineRule="auto"/>
        <w:ind w:firstLine="540"/>
        <w:jc w:val="both"/>
      </w:pPr>
      <w:r>
        <w:rPr>
          <w:sz w:val="24"/>
        </w:rPr>
        <w:t xml:space="preserve">При использовании установленного фиксированного количества поездок в календарном месяце оплата проезда осуществляется в размере тарифа, установленного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w:t>
      </w:r>
    </w:p>
    <w:p>
      <w:pPr>
        <w:pStyle w:val="0"/>
        <w:spacing w:before="240" w:lineRule="auto"/>
        <w:ind w:firstLine="540"/>
        <w:jc w:val="both"/>
      </w:pPr>
      <w:r>
        <w:rPr>
          <w:sz w:val="24"/>
        </w:rPr>
        <w:t xml:space="preserve">Неиспользованные в течение календарного месяца поездки аннулируются с первого числа следующего календарного месяца.</w:t>
      </w:r>
    </w:p>
    <w:p>
      <w:pPr>
        <w:pStyle w:val="0"/>
        <w:spacing w:before="240" w:lineRule="auto"/>
        <w:ind w:firstLine="540"/>
        <w:jc w:val="both"/>
      </w:pPr>
      <w:r>
        <w:rPr>
          <w:sz w:val="24"/>
        </w:rPr>
        <w:t xml:space="preserve">4. Дополнительные меры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предоставляются гражданам, которым не установлены меры социальной поддержки и социальной помощи по федеральному, региональному законодательству и другим нормативным правовым актам по оплате проезда.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решению</w:t>
      </w:r>
    </w:p>
    <w:p>
      <w:pPr>
        <w:pStyle w:val="0"/>
        <w:jc w:val="right"/>
      </w:pPr>
      <w:r>
        <w:rPr>
          <w:sz w:val="24"/>
        </w:rPr>
        <w:t xml:space="preserve">Рязанской городской Думы</w:t>
      </w:r>
    </w:p>
    <w:p>
      <w:pPr>
        <w:pStyle w:val="0"/>
        <w:jc w:val="right"/>
      </w:pPr>
      <w:r>
        <w:rPr>
          <w:sz w:val="24"/>
        </w:rPr>
        <w:t xml:space="preserve">от 27 июня 2024 г. N 179-IV</w:t>
      </w:r>
    </w:p>
    <w:p>
      <w:pPr>
        <w:pStyle w:val="0"/>
        <w:jc w:val="both"/>
      </w:pPr>
      <w:r>
        <w:rPr>
          <w:sz w:val="24"/>
        </w:rPr>
      </w:r>
    </w:p>
    <w:bookmarkStart w:id="103" w:name="P103"/>
    <w:bookmarkEnd w:id="103"/>
    <w:p>
      <w:pPr>
        <w:pStyle w:val="2"/>
        <w:jc w:val="center"/>
      </w:pPr>
      <w:r>
        <w:rPr>
          <w:sz w:val="24"/>
        </w:rPr>
        <w:t xml:space="preserve">ПОРЯДОК</w:t>
      </w:r>
    </w:p>
    <w:p>
      <w:pPr>
        <w:pStyle w:val="2"/>
        <w:jc w:val="center"/>
      </w:pPr>
      <w:r>
        <w:rPr>
          <w:sz w:val="24"/>
        </w:rPr>
        <w:t xml:space="preserve">ОПРЕДЕЛЕНИЯ СТОИМОСТИ ТАРИФА ДЛЯ ПОПОЛНЕНИЯ РЕСУРСА</w:t>
      </w:r>
    </w:p>
    <w:p>
      <w:pPr>
        <w:pStyle w:val="2"/>
        <w:jc w:val="center"/>
      </w:pPr>
      <w:r>
        <w:rPr>
          <w:sz w:val="24"/>
        </w:rPr>
        <w:t xml:space="preserve">ТРАНСПОРТНОГО ПРИЛОЖЕНИЯ ЕДИНОЙ ЦИФРОВОЙ КАРТЫ ЖИТЕЛЯ</w:t>
      </w:r>
    </w:p>
    <w:p>
      <w:pPr>
        <w:pStyle w:val="2"/>
        <w:jc w:val="center"/>
      </w:pPr>
      <w:r>
        <w:rPr>
          <w:sz w:val="24"/>
        </w:rPr>
        <w:t xml:space="preserve">РЯЗАНСКОЙ ОБЛАСТИ ИЛИ ТРАНСПОРТНОЙ КАРТЫ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Рязанской городской Думы</w:t>
            </w:r>
          </w:p>
          <w:p>
            <w:pPr>
              <w:pStyle w:val="0"/>
              <w:jc w:val="center"/>
            </w:pPr>
            <w:r>
              <w:rPr>
                <w:sz w:val="24"/>
                <w:color w:val="392c69"/>
              </w:rPr>
              <w:t xml:space="preserve">от 24.10.2024 </w:t>
            </w:r>
            <w:hyperlink w:history="0" r:id="rId25" w:tooltip="Решение Рязанской городской Думы от 24.10.2024 N 272-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272-IV</w:t>
              </w:r>
            </w:hyperlink>
            <w:r>
              <w:rPr>
                <w:sz w:val="24"/>
                <w:color w:val="392c69"/>
              </w:rPr>
              <w:t xml:space="preserve">, от 25.12.2025 </w:t>
            </w:r>
            <w:hyperlink w:history="0" r:id="rId26"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N 317-IV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Стоимость тарифа для пополнения ресурса транспортного приложения единой цифровой карты жителя Рязанской области или транспортной карты (далее - стоимость тарифа для пополнения ресурса транспортного приложения) рассчитывается по следующей формуле:</w:t>
      </w:r>
    </w:p>
    <w:p>
      <w:pPr>
        <w:pStyle w:val="0"/>
        <w:jc w:val="both"/>
      </w:pPr>
      <w:r>
        <w:rPr>
          <w:sz w:val="24"/>
        </w:rPr>
      </w:r>
    </w:p>
    <w:p>
      <w:pPr>
        <w:pStyle w:val="0"/>
        <w:jc w:val="center"/>
      </w:pPr>
      <w:r>
        <w:rPr>
          <w:sz w:val="24"/>
        </w:rPr>
        <w:t xml:space="preserve">Ст = Т x Пфк x Кп,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Ст - стоимость тарифа для пополнения ресурса транспортного приложения (руб.);</w:t>
      </w:r>
    </w:p>
    <w:p>
      <w:pPr>
        <w:pStyle w:val="0"/>
        <w:spacing w:before="240" w:lineRule="auto"/>
        <w:ind w:firstLine="540"/>
        <w:jc w:val="both"/>
      </w:pPr>
      <w:r>
        <w:rPr>
          <w:sz w:val="24"/>
        </w:rPr>
        <w:t xml:space="preserve">Т - размер регулируемого тарифа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или при оплате Единой цифровой картой жителя Рязанской области (ЕЦК) (руб.);</w:t>
      </w:r>
    </w:p>
    <w:p>
      <w:pPr>
        <w:pStyle w:val="0"/>
        <w:jc w:val="both"/>
      </w:pPr>
      <w:r>
        <w:rPr>
          <w:sz w:val="24"/>
        </w:rPr>
        <w:t xml:space="preserve">(в ред. </w:t>
      </w:r>
      <w:hyperlink w:history="0" r:id="rId27"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25.12.2025 N 317-IV)</w:t>
      </w:r>
    </w:p>
    <w:p>
      <w:pPr>
        <w:pStyle w:val="0"/>
        <w:spacing w:before="240" w:lineRule="auto"/>
        <w:ind w:firstLine="540"/>
        <w:jc w:val="both"/>
      </w:pPr>
      <w:r>
        <w:rPr>
          <w:sz w:val="24"/>
        </w:rPr>
        <w:t xml:space="preserve">Пфк - фиксированное количество поездок - 50 или 90 поездок в календарном месяце, выбранное гражданином;</w:t>
      </w:r>
    </w:p>
    <w:p>
      <w:pPr>
        <w:pStyle w:val="0"/>
        <w:spacing w:before="240" w:lineRule="auto"/>
        <w:ind w:firstLine="540"/>
        <w:jc w:val="both"/>
      </w:pPr>
      <w:r>
        <w:rPr>
          <w:sz w:val="24"/>
        </w:rPr>
        <w:t xml:space="preserve">Кп - коэффициент понижения стоимости.</w:t>
      </w:r>
    </w:p>
    <w:p>
      <w:pPr>
        <w:pStyle w:val="0"/>
        <w:jc w:val="both"/>
      </w:pPr>
      <w:r>
        <w:rPr>
          <w:sz w:val="24"/>
        </w:rPr>
        <w:t xml:space="preserve">(п. 1 в ред. </w:t>
      </w:r>
      <w:hyperlink w:history="0" r:id="rId28" w:tooltip="Решение Рязанской городской Думы от 24.10.2024 N 272-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24.10.2024 N 272-IV)</w:t>
      </w:r>
    </w:p>
    <w:p>
      <w:pPr>
        <w:pStyle w:val="0"/>
        <w:spacing w:before="240" w:lineRule="auto"/>
        <w:ind w:firstLine="540"/>
        <w:jc w:val="both"/>
      </w:pPr>
      <w:r>
        <w:rPr>
          <w:sz w:val="24"/>
        </w:rPr>
        <w:t xml:space="preserve">2. Решения о размере коэффициента понижения стоимости и стоимости тарифа для пополнения ресурса транспортного приложения принимаются правовым актом администрации города Рязани.</w:t>
      </w:r>
    </w:p>
    <w:p>
      <w:pPr>
        <w:pStyle w:val="0"/>
        <w:spacing w:before="240" w:lineRule="auto"/>
        <w:ind w:firstLine="540"/>
        <w:jc w:val="both"/>
      </w:pPr>
      <w:r>
        <w:rPr>
          <w:sz w:val="24"/>
        </w:rPr>
        <w:t xml:space="preserve">Коэффициент понижения стоимости может быть дифференцирован по категориям граждан, для которых решением Рязанской городской Думы установлены дополнительные меры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Основания и периодичность изменения размера коэффициента понижения стоимости устанавливаются правовым актом администрации города Рязани.</w:t>
      </w:r>
    </w:p>
    <w:p>
      <w:pPr>
        <w:pStyle w:val="0"/>
        <w:spacing w:before="240" w:lineRule="auto"/>
        <w:ind w:firstLine="540"/>
        <w:jc w:val="both"/>
      </w:pPr>
      <w:r>
        <w:rPr>
          <w:sz w:val="24"/>
        </w:rPr>
        <w:t xml:space="preserve">3. Администрация города Рязани обязана осуществлять информирование населения о подготовке решения о размере коэффициента понижения стоимости и стоимости тарифа для пополнения ресурса транспортного приложения не позднее чем за пятнадцать дней до принятия решения о размере коэффициента понижения стоимости и стоимости тарифа для пополнения ресурса транспортного приложения посредством размещения соответствующей информации на официальном сайте администрации города Рязани в информационно-телекоммуникационной сети "Интернет".</w:t>
      </w:r>
    </w:p>
    <w:p>
      <w:pPr>
        <w:pStyle w:val="0"/>
        <w:spacing w:before="240" w:lineRule="auto"/>
        <w:ind w:firstLine="540"/>
        <w:jc w:val="both"/>
      </w:pPr>
      <w:r>
        <w:rPr>
          <w:sz w:val="24"/>
        </w:rPr>
        <w:t xml:space="preserve">4. Основаниями для изменения стоимости тарифа для пополнения ресурса транспортного приложения являются изменения размера регулируемого тарифа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либо при оплате Единой цифровой картой жителя Рязанской области (ЕЦК) и (или) размера коэффициента понижения стоимости.</w:t>
      </w:r>
    </w:p>
    <w:p>
      <w:pPr>
        <w:pStyle w:val="0"/>
        <w:jc w:val="both"/>
      </w:pPr>
      <w:r>
        <w:rPr>
          <w:sz w:val="24"/>
        </w:rPr>
        <w:t xml:space="preserve">(в ред. </w:t>
      </w:r>
      <w:hyperlink w:history="0" r:id="rId29" w:tooltip="Решение Рязанской городской Думы от 25.12.2025 N 317-IV &quot;О внесении изменений в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Решения</w:t>
        </w:r>
      </w:hyperlink>
      <w:r>
        <w:rPr>
          <w:sz w:val="24"/>
        </w:rPr>
        <w:t xml:space="preserve"> Рязанской городской Думы от 25.12.2025 N 317-IV)</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Рязанской городской Думы от 27.06.2024 N 179-IV</w:t>
            <w:br/>
            <w:t>(ред. от 25.12.2025)</w:t>
            <w:br/>
            <w:t>"Об установлении дополнительных мер социаль...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444831&amp;date=13.01.2026&amp;dst=100005&amp;field=134" TargetMode = "External"/><Relationship Id="rId9" Type="http://schemas.openxmlformats.org/officeDocument/2006/relationships/hyperlink" Target="https://login.consultant.ru/link/?req=doc&amp;base=RLAW073&amp;n=480851&amp;date=13.01.2026&amp;dst=100005&amp;field=134" TargetMode = "External"/><Relationship Id="rId10" Type="http://schemas.openxmlformats.org/officeDocument/2006/relationships/hyperlink" Target="https://login.consultant.ru/link/?req=doc&amp;base=LAW&amp;n=501319&amp;date=13.01.2026" TargetMode = "External"/><Relationship Id="rId11" Type="http://schemas.openxmlformats.org/officeDocument/2006/relationships/hyperlink" Target="https://login.consultant.ru/link/?req=doc&amp;base=RLAW073&amp;n=450614&amp;date=13.01.2026" TargetMode = "External"/><Relationship Id="rId12" Type="http://schemas.openxmlformats.org/officeDocument/2006/relationships/hyperlink" Target="https://login.consultant.ru/link/?req=doc&amp;base=RLAW073&amp;n=480851&amp;date=13.01.2026&amp;dst=100006&amp;field=134" TargetMode = "External"/><Relationship Id="rId13" Type="http://schemas.openxmlformats.org/officeDocument/2006/relationships/hyperlink" Target="https://login.consultant.ru/link/?req=doc&amp;base=RLAW073&amp;n=418341&amp;date=13.01.2026" TargetMode = "External"/><Relationship Id="rId14" Type="http://schemas.openxmlformats.org/officeDocument/2006/relationships/hyperlink" Target="https://login.consultant.ru/link/?req=doc&amp;base=RLAW073&amp;n=272807&amp;date=13.01.2026" TargetMode = "External"/><Relationship Id="rId15" Type="http://schemas.openxmlformats.org/officeDocument/2006/relationships/hyperlink" Target="https://login.consultant.ru/link/?req=doc&amp;base=RLAW073&amp;n=277177&amp;date=13.01.2026" TargetMode = "External"/><Relationship Id="rId16" Type="http://schemas.openxmlformats.org/officeDocument/2006/relationships/hyperlink" Target="https://login.consultant.ru/link/?req=doc&amp;base=RLAW073&amp;n=296696&amp;date=13.01.2026" TargetMode = "External"/><Relationship Id="rId17" Type="http://schemas.openxmlformats.org/officeDocument/2006/relationships/hyperlink" Target="https://login.consultant.ru/link/?req=doc&amp;base=RLAW073&amp;n=321111&amp;date=13.01.2026" TargetMode = "External"/><Relationship Id="rId18" Type="http://schemas.openxmlformats.org/officeDocument/2006/relationships/hyperlink" Target="https://login.consultant.ru/link/?req=doc&amp;base=RLAW073&amp;n=349407&amp;date=13.01.2026" TargetMode = "External"/><Relationship Id="rId19" Type="http://schemas.openxmlformats.org/officeDocument/2006/relationships/hyperlink" Target="https://login.consultant.ru/link/?req=doc&amp;base=RLAW073&amp;n=381966&amp;date=13.01.2026" TargetMode = "External"/><Relationship Id="rId20" Type="http://schemas.openxmlformats.org/officeDocument/2006/relationships/hyperlink" Target="https://login.consultant.ru/link/?req=doc&amp;base=RLAW073&amp;n=418316&amp;date=13.01.2026" TargetMode = "External"/><Relationship Id="rId21" Type="http://schemas.openxmlformats.org/officeDocument/2006/relationships/hyperlink" Target="https://login.consultant.ru/link/?req=doc&amp;base=RLAW073&amp;n=444831&amp;date=13.01.2026&amp;dst=100006&amp;field=134" TargetMode = "External"/><Relationship Id="rId22" Type="http://schemas.openxmlformats.org/officeDocument/2006/relationships/hyperlink" Target="https://login.consultant.ru/link/?req=doc&amp;base=RLAW073&amp;n=480851&amp;date=13.01.2026&amp;dst=100007&amp;field=134" TargetMode = "External"/><Relationship Id="rId23" Type="http://schemas.openxmlformats.org/officeDocument/2006/relationships/hyperlink" Target="https://login.consultant.ru/link/?req=doc&amp;base=RLAW073&amp;n=480851&amp;date=13.01.2026&amp;dst=100007&amp;field=134" TargetMode = "External"/><Relationship Id="rId24" Type="http://schemas.openxmlformats.org/officeDocument/2006/relationships/hyperlink" Target="https://login.consultant.ru/link/?req=doc&amp;base=RLAW073&amp;n=444831&amp;date=13.01.2026&amp;dst=100006&amp;field=134" TargetMode = "External"/><Relationship Id="rId25" Type="http://schemas.openxmlformats.org/officeDocument/2006/relationships/hyperlink" Target="https://login.consultant.ru/link/?req=doc&amp;base=RLAW073&amp;n=444831&amp;date=13.01.2026&amp;dst=100007&amp;field=134" TargetMode = "External"/><Relationship Id="rId26" Type="http://schemas.openxmlformats.org/officeDocument/2006/relationships/hyperlink" Target="https://login.consultant.ru/link/?req=doc&amp;base=RLAW073&amp;n=480851&amp;date=13.01.2026&amp;dst=100009&amp;field=134" TargetMode = "External"/><Relationship Id="rId27" Type="http://schemas.openxmlformats.org/officeDocument/2006/relationships/hyperlink" Target="https://login.consultant.ru/link/?req=doc&amp;base=RLAW073&amp;n=480851&amp;date=13.01.2026&amp;dst=100010&amp;field=134" TargetMode = "External"/><Relationship Id="rId28" Type="http://schemas.openxmlformats.org/officeDocument/2006/relationships/hyperlink" Target="https://login.consultant.ru/link/?req=doc&amp;base=RLAW073&amp;n=444831&amp;date=13.01.2026&amp;dst=100007&amp;field=134" TargetMode = "External"/><Relationship Id="rId29" Type="http://schemas.openxmlformats.org/officeDocument/2006/relationships/hyperlink" Target="https://login.consultant.ru/link/?req=doc&amp;base=RLAW073&amp;n=480851&amp;date=13.01.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Рязанской городской Думы от 27.06.2024 N 179-IV
(ред. от 25.12.2025)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(вместе с "Порядком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dc:title>
  <dcterms:created xsi:type="dcterms:W3CDTF">2026-01-13T10:28:14Z</dcterms:created>
</cp:coreProperties>
</file>